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59" w:rsidRPr="00CD6A59" w:rsidRDefault="00CD6A59" w:rsidP="00CD6A59">
      <w:pPr>
        <w:widowControl/>
        <w:tabs>
          <w:tab w:val="left" w:pos="708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59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59" w:rsidRPr="00CD6A59" w:rsidRDefault="00CD6A59" w:rsidP="00CD6A59">
      <w:pPr>
        <w:widowControl/>
        <w:tabs>
          <w:tab w:val="left" w:pos="708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59">
        <w:rPr>
          <w:rFonts w:ascii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CD6A59" w:rsidRPr="00CD6A59" w:rsidRDefault="00CD6A59" w:rsidP="00CD6A59">
      <w:pPr>
        <w:widowControl/>
        <w:tabs>
          <w:tab w:val="left" w:pos="708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5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CD6A59" w:rsidRPr="00CD6A59" w:rsidRDefault="00CD6A59" w:rsidP="00CD6A59">
      <w:pPr>
        <w:widowControl/>
        <w:tabs>
          <w:tab w:val="left" w:pos="708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A5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D6A59" w:rsidRPr="00CD6A59" w:rsidRDefault="00CD6A59" w:rsidP="00CD6A59">
      <w:pPr>
        <w:widowControl/>
        <w:tabs>
          <w:tab w:val="left" w:pos="708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D6A59">
        <w:rPr>
          <w:rFonts w:ascii="Times New Roman" w:hAnsi="Times New Roman" w:cs="Times New Roman"/>
          <w:sz w:val="28"/>
          <w:szCs w:val="28"/>
        </w:rPr>
        <w:t xml:space="preserve">от 25.12.2017   </w:t>
      </w:r>
      <w:r w:rsidRPr="00CD6A59">
        <w:rPr>
          <w:rFonts w:ascii="Times New Roman" w:hAnsi="Times New Roman" w:cs="Times New Roman"/>
          <w:sz w:val="28"/>
          <w:szCs w:val="28"/>
        </w:rPr>
        <w:tab/>
      </w:r>
      <w:r w:rsidRPr="00CD6A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CD6A59">
        <w:rPr>
          <w:rFonts w:ascii="Times New Roman" w:hAnsi="Times New Roman" w:cs="Times New Roman"/>
          <w:sz w:val="28"/>
          <w:szCs w:val="28"/>
        </w:rPr>
        <w:tab/>
      </w:r>
      <w:r w:rsidRPr="00CD6A59">
        <w:rPr>
          <w:rFonts w:ascii="Times New Roman" w:hAnsi="Times New Roman" w:cs="Times New Roman"/>
          <w:sz w:val="28"/>
          <w:szCs w:val="28"/>
        </w:rPr>
        <w:tab/>
      </w:r>
      <w:r w:rsidRPr="00CD6A59">
        <w:rPr>
          <w:rFonts w:ascii="Times New Roman" w:hAnsi="Times New Roman" w:cs="Times New Roman"/>
          <w:sz w:val="28"/>
          <w:szCs w:val="28"/>
        </w:rPr>
        <w:tab/>
        <w:t>№ 230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D6A59" w:rsidRPr="00CD6A59" w:rsidRDefault="00CD6A59" w:rsidP="00CD6A59">
      <w:pPr>
        <w:widowControl/>
        <w:tabs>
          <w:tab w:val="left" w:pos="708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CD6A59">
        <w:rPr>
          <w:rFonts w:ascii="Times New Roman" w:hAnsi="Times New Roman" w:cs="Times New Roman"/>
          <w:sz w:val="28"/>
          <w:szCs w:val="28"/>
        </w:rPr>
        <w:t>г. Кореновск</w:t>
      </w:r>
    </w:p>
    <w:p w:rsidR="00CD6A59" w:rsidRPr="00CD6A59" w:rsidRDefault="00CD6A59" w:rsidP="00CD6A59">
      <w:pPr>
        <w:widowControl/>
        <w:suppressAutoHyphens w:val="0"/>
        <w:autoSpaceDE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A59" w:rsidRPr="00CD6A59" w:rsidRDefault="00CD6A59" w:rsidP="00CD6A59">
      <w:pPr>
        <w:widowControl/>
        <w:tabs>
          <w:tab w:val="left" w:pos="8505"/>
        </w:tabs>
        <w:autoSpaceDE/>
        <w:jc w:val="center"/>
        <w:rPr>
          <w:rFonts w:ascii="Times New Roman" w:hAnsi="Times New Roman" w:cs="Times New Roman"/>
          <w:b/>
          <w:bCs/>
          <w:sz w:val="28"/>
          <w:szCs w:val="20"/>
          <w:lang w:eastAsia="zh-CN"/>
        </w:rPr>
      </w:pPr>
    </w:p>
    <w:p w:rsidR="00066EBC" w:rsidRDefault="00F841F4" w:rsidP="00066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AF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066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</w:p>
    <w:p w:rsidR="00066EBC" w:rsidRDefault="00F841F4" w:rsidP="00066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</w:t>
      </w:r>
    </w:p>
    <w:p w:rsidR="00F841F4" w:rsidRDefault="00F841F4" w:rsidP="00066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AF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F841F4" w:rsidRDefault="00F841F4" w:rsidP="00066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F841F4" w:rsidRPr="00300E46" w:rsidRDefault="00F841F4" w:rsidP="00066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F841F4" w:rsidRDefault="00F841F4" w:rsidP="00F841F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066EBC" w:rsidRPr="00371672" w:rsidRDefault="00066EBC" w:rsidP="00F841F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F841F4" w:rsidRPr="00220CA7" w:rsidRDefault="00F841F4" w:rsidP="00F841F4">
      <w:pPr>
        <w:widowControl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CA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Pr="00220CA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179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0CA7">
        <w:rPr>
          <w:rFonts w:ascii="Times New Roman" w:hAnsi="Times New Roman" w:cs="Times New Roman"/>
          <w:sz w:val="28"/>
          <w:szCs w:val="28"/>
          <w:lang w:eastAsia="ru-RU"/>
        </w:rPr>
        <w:t>Бюджетного кодекса Российской Федерации, постановлением администрации Кореновского городского поселения Кореновского района 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района» (с изменениями от 14 марта 2017 года № 567),</w:t>
      </w:r>
      <w:r w:rsidRPr="00220CA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Кореновского района </w:t>
      </w:r>
      <w:r w:rsidRPr="00220CA7">
        <w:rPr>
          <w:rFonts w:ascii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F841F4" w:rsidRPr="00545144" w:rsidRDefault="00F841F4" w:rsidP="00F84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5144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программу </w:t>
      </w:r>
      <w:r w:rsidRPr="00545144"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2018-2022 годы</w:t>
      </w:r>
      <w:r w:rsidRPr="00545144">
        <w:rPr>
          <w:rFonts w:ascii="Times New Roman" w:hAnsi="Times New Roman" w:cs="Times New Roman"/>
          <w:b w:val="0"/>
          <w:sz w:val="28"/>
          <w:szCs w:val="28"/>
        </w:rPr>
        <w:t xml:space="preserve">» (прилагается). </w:t>
      </w:r>
    </w:p>
    <w:p w:rsidR="00F841F4" w:rsidRDefault="00F841F4" w:rsidP="00F841F4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</w:t>
      </w:r>
      <w:r w:rsidR="006F722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F841F4" w:rsidRDefault="00F841F4" w:rsidP="00F841F4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614E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Кореновского городского поселения Кореновского района от 24 мая 2017 года № 1021 «Об утверждении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района».</w:t>
      </w:r>
      <w:r w:rsidRPr="00FB2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41F4" w:rsidRDefault="00F841F4" w:rsidP="00F841F4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421A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Кореновского городского поселения Кореновского района от 16 августа 2017 года № 1544 «О внесении изменения в постановление администрации Кореновского городского поселения Кореновского района от 24 мая 2017 года № 1021 «Об утверждении муниципальной программы Кореновского городского поселения Кореновского района «Формирование современной городской</w:t>
      </w:r>
      <w:r w:rsidR="00066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среды Кореновского городского поселения Кореновского района».</w:t>
      </w:r>
      <w:r w:rsidRPr="00FB2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41F4" w:rsidRDefault="00F841F4" w:rsidP="00F841F4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Постановление администрации Кореновского городского поселения Кореновского района от 11 октября 2017 года № 1848 «О внесении изменения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Кореновского городского поселения Кореновского района от 24 мая 2017 года № 1021 «Об утверждении муниципальной программы Кореновского городского поселения Кореновского района «Формирование современной городской</w:t>
      </w:r>
      <w:r w:rsidR="00066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среды Кореновского городского поселения Кореновского района».</w:t>
      </w:r>
      <w:r w:rsidRPr="00FB2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41F4" w:rsidRPr="008040E4" w:rsidRDefault="00F841F4" w:rsidP="00F841F4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66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Финансово-экономическому отделу администрации Кореновского городского поселения Кореновского района (</w:t>
      </w:r>
      <w:proofErr w:type="spellStart"/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Киричко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>) предусмотреть финансирование расходов на реали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зацию указанной программы в </w:t>
      </w:r>
      <w:r w:rsidR="00066E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2018-2022 годах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 Кореновского городского поселения Кореновского района.</w:t>
      </w:r>
    </w:p>
    <w:p w:rsidR="00F841F4" w:rsidRPr="008040E4" w:rsidRDefault="00066EBC" w:rsidP="00F841F4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841F4" w:rsidRPr="008040E4">
        <w:rPr>
          <w:rFonts w:ascii="Times New Roman" w:hAnsi="Times New Roman" w:cs="Times New Roman"/>
          <w:sz w:val="28"/>
          <w:szCs w:val="28"/>
          <w:lang w:eastAsia="ru-RU"/>
        </w:rPr>
        <w:t>. Общему отделу администрации Кореновского городского поселения Кореновского района (</w:t>
      </w:r>
      <w:r w:rsidR="00F841F4">
        <w:rPr>
          <w:rFonts w:ascii="Times New Roman" w:hAnsi="Times New Roman" w:cs="Times New Roman"/>
          <w:sz w:val="28"/>
          <w:szCs w:val="28"/>
          <w:lang w:eastAsia="ru-RU"/>
        </w:rPr>
        <w:t>Устинова) разместить (опубликовать)</w:t>
      </w:r>
      <w:r w:rsidR="00F841F4"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41F4">
        <w:rPr>
          <w:rFonts w:ascii="Times New Roman" w:hAnsi="Times New Roman" w:cs="Times New Roman"/>
          <w:sz w:val="28"/>
          <w:szCs w:val="28"/>
          <w:lang w:eastAsia="ru-RU"/>
        </w:rPr>
        <w:t xml:space="preserve">полный текст настоящего постановления </w:t>
      </w:r>
      <w:proofErr w:type="gramStart"/>
      <w:r w:rsidR="00F841F4">
        <w:rPr>
          <w:rFonts w:ascii="Times New Roman" w:hAnsi="Times New Roman" w:cs="Times New Roman"/>
          <w:sz w:val="28"/>
          <w:szCs w:val="28"/>
          <w:lang w:eastAsia="ru-RU"/>
        </w:rPr>
        <w:t>в электронном СМИ</w:t>
      </w:r>
      <w:proofErr w:type="gramEnd"/>
      <w:r w:rsidR="00F841F4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F841F4"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841F4" w:rsidRDefault="00066EBC" w:rsidP="00F841F4">
      <w:pPr>
        <w:widowControl/>
        <w:autoSpaceDE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841F4"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841F4" w:rsidRPr="00C7488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                  района </w:t>
      </w:r>
      <w:r w:rsidR="00F841F4">
        <w:rPr>
          <w:rFonts w:ascii="Times New Roman" w:hAnsi="Times New Roman" w:cs="Times New Roman"/>
          <w:color w:val="000000"/>
          <w:sz w:val="28"/>
          <w:szCs w:val="28"/>
        </w:rPr>
        <w:t>М.В. Колесову</w:t>
      </w:r>
      <w:r w:rsidR="00F841F4">
        <w:rPr>
          <w:color w:val="000000"/>
          <w:sz w:val="28"/>
          <w:szCs w:val="28"/>
        </w:rPr>
        <w:t>.</w:t>
      </w:r>
    </w:p>
    <w:p w:rsidR="0096210C" w:rsidRPr="0096210C" w:rsidRDefault="0096210C" w:rsidP="0096210C">
      <w:pPr>
        <w:widowControl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6210C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подписания, но не ранее вступления в силу решения Совета Кореновского городского поселения Кореновского района «О бюджете Кореновского городского поселения Кореновского района на 2018 год».</w:t>
      </w:r>
    </w:p>
    <w:p w:rsidR="00F841F4" w:rsidRDefault="00F841F4" w:rsidP="00F841F4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Pr="008040E4" w:rsidRDefault="00F841F4" w:rsidP="00F841F4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F841F4" w:rsidRPr="008040E4" w:rsidRDefault="00F841F4" w:rsidP="00F841F4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ED090D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Е.Н.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1F4" w:rsidRDefault="00F841F4" w:rsidP="00F841F4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401F" w:rsidRDefault="0074401F" w:rsidP="00F841F4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401F" w:rsidRDefault="0074401F" w:rsidP="00F841F4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-394"/>
        <w:tblW w:w="9871" w:type="dxa"/>
        <w:tblLook w:val="01E0" w:firstRow="1" w:lastRow="1" w:firstColumn="1" w:lastColumn="1" w:noHBand="0" w:noVBand="0"/>
      </w:tblPr>
      <w:tblGrid>
        <w:gridCol w:w="3199"/>
        <w:gridCol w:w="1775"/>
        <w:gridCol w:w="4897"/>
      </w:tblGrid>
      <w:tr w:rsidR="0074401F" w:rsidTr="0074401F">
        <w:trPr>
          <w:trHeight w:val="2595"/>
        </w:trPr>
        <w:tc>
          <w:tcPr>
            <w:tcW w:w="3199" w:type="dxa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D6A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25.12.2017 № 2309</w:t>
            </w: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01F" w:rsidRDefault="0074401F" w:rsidP="0074401F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color w:val="FFFFFF"/>
          <w:sz w:val="28"/>
          <w:szCs w:val="20"/>
        </w:rPr>
      </w:pP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Кореновского городского поселения Кореновского района на 2018-2022 годы» </w:t>
      </w: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Кореновского городского поселения Кореновского района на 2018-2022 годы» </w:t>
      </w: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6889"/>
      </w:tblGrid>
      <w:tr w:rsidR="0074401F" w:rsidTr="0074401F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74401F" w:rsidTr="0074401F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 администрации Кореновского городского поселения Кореновского района.</w:t>
            </w:r>
          </w:p>
        </w:tc>
      </w:tr>
      <w:tr w:rsidR="0074401F" w:rsidTr="0074401F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Кореновского городского поселения Кореновского района;</w:t>
            </w:r>
          </w:p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территорий общего пользования Кореновского городского поселения Кореновского района.</w:t>
            </w:r>
          </w:p>
        </w:tc>
      </w:tr>
      <w:tr w:rsidR="0074401F" w:rsidTr="0074401F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дворовых и общественных территорий Кореновского городского поселения Кореновского района (ремонт дворовых проездов, тротуарных дорожек, установка малых архитектурных форм (урн, скамеек), обустройство игровых и спортивных площадок, озеленение, освещение)</w:t>
            </w:r>
          </w:p>
        </w:tc>
      </w:tr>
      <w:tr w:rsidR="0074401F" w:rsidTr="0074401F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территорий;</w:t>
            </w:r>
          </w:p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территорий общего пользования от общего количества таких территорий. </w:t>
            </w:r>
          </w:p>
        </w:tc>
      </w:tr>
      <w:tr w:rsidR="0074401F" w:rsidTr="0074401F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74401F" w:rsidTr="0074401F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10000000 рублей</w:t>
            </w:r>
          </w:p>
        </w:tc>
      </w:tr>
      <w:tr w:rsidR="0074401F" w:rsidTr="0074401F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района.</w:t>
            </w:r>
          </w:p>
        </w:tc>
      </w:tr>
    </w:tbl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pStyle w:val="aa"/>
        <w:numPr>
          <w:ilvl w:val="0"/>
          <w:numId w:val="2"/>
        </w:num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74401F" w:rsidRDefault="0074401F" w:rsidP="0074401F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Кореновского городского поселения Кореновского района   расположено 184 многоквартирных жилых дома. Благоустройство дворов жилищного фонда и на сегодняшний день в целом по Кореновскому городском поселению Кореновского района полностью или частично не отвечает нормативным требованиям.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обеспечивающих увязку реализации мероприятий по срокам, ресурсам и исполнителям.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Кореновского городского поселения Кореновского района имеется 14 территорий массового пребывания людей -  парк, скверы, площадь, рощи и другие территории общего пользования, где благоустройство необходимо. Для обеспечения благоустройства территорий массового пребывания людей- парка, сквера, площади, рощи и других территорий общего пользования целесообразно проведение следующих мероприятий: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озеленение, уход за зелеными насаждениями;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иными некапитальными объектами;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устройство пешеходных дорожек,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освещение территорий, в том числе декоративное;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обустройство площадок для отдыха, детских, спортивных площадок;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установка скамеек и урн, контейнеров для сбора мусора;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оформление цветников;</w:t>
      </w:r>
    </w:p>
    <w:p w:rsidR="0074401F" w:rsidRDefault="0074401F" w:rsidP="0074401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74401F" w:rsidRDefault="0074401F" w:rsidP="0074401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Реализация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2018-2022 годы» (далее муниципальная программа)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всего комплекса работ, предусмотренных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программой, создаст условия для благоустроенности и придания привлекательности объектам озеленения Кореновского городского поселения Кореновского района.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pStyle w:val="aa"/>
        <w:numPr>
          <w:ilvl w:val="0"/>
          <w:numId w:val="2"/>
        </w:num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Основной целью муниципальной 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«Формирование современной городской среды Кореновского городского поселения Кореновского района на 2018-2022 годы»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 повышение уровня благоустройства территорий Кореновского городского поселения Кореновского района.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Основные задачи муниципальной программы, направленные на достижение вышеуказанных целей, заключаются в благоустройстве дворовых и общественных территорий Кореновского городского поселения Кореновского района (ремонт дворовых проездов, тротуарных дорожек, установка малых архитектурных форм (урн, скамеек), обустройство игровых и спортивных площадок, озеленение, освещение.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2.3. Целевые показатели реализации муниципальной программы.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 сферу содержания дворовых территорий</w:t>
      </w: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266"/>
        <w:gridCol w:w="850"/>
        <w:gridCol w:w="8"/>
        <w:gridCol w:w="700"/>
        <w:gridCol w:w="8"/>
        <w:gridCol w:w="843"/>
        <w:gridCol w:w="8"/>
        <w:gridCol w:w="701"/>
        <w:gridCol w:w="8"/>
        <w:gridCol w:w="846"/>
        <w:gridCol w:w="853"/>
        <w:gridCol w:w="851"/>
        <w:gridCol w:w="851"/>
        <w:gridCol w:w="851"/>
      </w:tblGrid>
      <w:tr w:rsidR="0074401F" w:rsidTr="0074401F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ind w:left="-1763" w:firstLine="985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Наименование</w:t>
            </w:r>
          </w:p>
          <w:p w:rsidR="0074401F" w:rsidRDefault="0074401F">
            <w:pPr>
              <w:suppressAutoHyphens w:val="0"/>
              <w:autoSpaceDN w:val="0"/>
              <w:ind w:left="-1763" w:firstLine="985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целевого показателя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индикатора)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 формирования муниципальной программы</w:t>
            </w:r>
          </w:p>
        </w:tc>
      </w:tr>
      <w:tr w:rsidR="0074401F" w:rsidTr="0074401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</w:t>
            </w:r>
          </w:p>
          <w:p w:rsidR="0074401F" w:rsidRDefault="0074401F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</w:t>
            </w:r>
          </w:p>
          <w:p w:rsidR="0074401F" w:rsidRDefault="0074401F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</w:tr>
      <w:tr w:rsidR="0074401F" w:rsidTr="0074401F">
        <w:trPr>
          <w:trHeight w:val="13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дворовых территорий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59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134</w:t>
            </w:r>
          </w:p>
        </w:tc>
      </w:tr>
      <w:tr w:rsidR="0074401F" w:rsidTr="007440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72,8</w:t>
            </w:r>
          </w:p>
        </w:tc>
      </w:tr>
      <w:tr w:rsidR="0074401F" w:rsidTr="0074401F">
        <w:trPr>
          <w:trHeight w:val="20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</w:t>
            </w: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</w:tr>
      <w:tr w:rsidR="0074401F" w:rsidTr="007440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74401F" w:rsidRDefault="0074401F" w:rsidP="0074401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 благоустройство территорий общего пользования</w:t>
      </w: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709"/>
        <w:gridCol w:w="709"/>
        <w:gridCol w:w="708"/>
        <w:gridCol w:w="851"/>
        <w:gridCol w:w="850"/>
        <w:gridCol w:w="709"/>
        <w:gridCol w:w="709"/>
        <w:gridCol w:w="709"/>
      </w:tblGrid>
      <w:tr w:rsidR="0074401F" w:rsidTr="0074401F">
        <w:trPr>
          <w:trHeight w:val="10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 формирования муниципальной программы</w:t>
            </w:r>
          </w:p>
        </w:tc>
      </w:tr>
      <w:tr w:rsidR="0074401F" w:rsidTr="0074401F">
        <w:trPr>
          <w:trHeight w:val="90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</w:tr>
      <w:tr w:rsidR="0074401F" w:rsidTr="0074401F">
        <w:trPr>
          <w:trHeight w:val="10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74401F" w:rsidTr="0074401F">
        <w:trPr>
          <w:trHeight w:val="5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42,8</w:t>
            </w:r>
          </w:p>
        </w:tc>
      </w:tr>
      <w:tr w:rsidR="0074401F" w:rsidTr="0074401F">
        <w:trPr>
          <w:trHeight w:val="15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Количество реализованных проектов благоустройства территорий общего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</w:tbl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134"/>
        <w:gridCol w:w="709"/>
        <w:gridCol w:w="850"/>
        <w:gridCol w:w="709"/>
        <w:gridCol w:w="709"/>
        <w:gridCol w:w="709"/>
      </w:tblGrid>
      <w:tr w:rsidR="0074401F" w:rsidTr="0074401F">
        <w:trPr>
          <w:trHeight w:val="9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Цель, задача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</w:tr>
      <w:tr w:rsidR="0074401F" w:rsidTr="0074401F">
        <w:trPr>
          <w:trHeight w:val="140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Цель. </w:t>
            </w:r>
          </w:p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Повышение уровня благоустройства территорий Кореновского городского поселения Кореновского района</w:t>
            </w:r>
          </w:p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72,8</w:t>
            </w:r>
          </w:p>
        </w:tc>
      </w:tr>
      <w:tr w:rsidR="0074401F" w:rsidTr="0074401F">
        <w:trPr>
          <w:trHeight w:val="1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42,8</w:t>
            </w:r>
          </w:p>
        </w:tc>
      </w:tr>
      <w:tr w:rsidR="0074401F" w:rsidTr="0074401F">
        <w:trPr>
          <w:trHeight w:val="1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Задача 1.</w:t>
            </w:r>
          </w:p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Благоустройство дворовых территорий Кореновского городского поселения Кореновского района </w:t>
            </w:r>
          </w:p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</w:tr>
      <w:tr w:rsidR="0074401F" w:rsidTr="0074401F">
        <w:trPr>
          <w:trHeight w:val="181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</w:tr>
      <w:tr w:rsidR="0074401F" w:rsidTr="0074401F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0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74401F" w:rsidTr="0074401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Задача 2. </w:t>
            </w:r>
          </w:p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Благоустройство  территорий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общего пользования Кореновского городского поселения Кореновского района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благоустроенных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74401F" w:rsidTr="0074401F">
        <w:trPr>
          <w:trHeight w:val="227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реализованных проектов благоустройства территорий общего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</w:tbl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 Реализация муниципальной программы позволит достичь следующих результатов: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благоустройство дворовых территорий 66 многоквартирных жилых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домов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чего количество благоустроенных дворовых территорий в целом по Кореновскому городскому поселению составит 72,8 %.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благоустройство муниципальных территорий общего пользования – 2, в результате чего количество благоустроенных муниципальных территорий общего пользования в целом по Кореновскому городскому поселению составит 42,8 %.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Необходимым условием реализации программы является проведение мероприятий по благоустройству дворовых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реализации мероприятий программы определены минимальный и дополнительный перечни работ по благоустройству дворовых территорий многоквартирных домов (приложение 2 к Программе),</w:t>
      </w:r>
    </w:p>
    <w:p w:rsidR="0074401F" w:rsidRDefault="0074401F" w:rsidP="0074401F">
      <w:pPr>
        <w:pStyle w:val="aa"/>
        <w:numPr>
          <w:ilvl w:val="1"/>
          <w:numId w:val="2"/>
        </w:num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программы: 2018-2022 годы. Этапы реализации муниципальной программы не предусмотрены.</w:t>
      </w:r>
    </w:p>
    <w:p w:rsidR="0074401F" w:rsidRDefault="0074401F" w:rsidP="0074401F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</w:p>
    <w:p w:rsidR="0074401F" w:rsidRDefault="0074401F" w:rsidP="0074401F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sectPr w:rsidR="0074401F">
          <w:pgSz w:w="11905" w:h="16838"/>
          <w:pgMar w:top="1134" w:right="567" w:bottom="1134" w:left="1701" w:header="1134" w:footer="0" w:gutter="0"/>
          <w:cols w:space="720"/>
        </w:sectPr>
      </w:pPr>
    </w:p>
    <w:p w:rsidR="0074401F" w:rsidRDefault="0074401F" w:rsidP="0074401F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01F" w:rsidRDefault="0074401F" w:rsidP="0074401F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01F" w:rsidRPr="00CD6A59" w:rsidRDefault="0074401F" w:rsidP="0074401F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D6A5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8</w:t>
      </w:r>
    </w:p>
    <w:p w:rsidR="0074401F" w:rsidRDefault="0074401F" w:rsidP="0074401F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Перечень основных мероприятий муниципальной программы</w:t>
      </w:r>
    </w:p>
    <w:p w:rsidR="0074401F" w:rsidRDefault="0074401F" w:rsidP="0074401F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современной городской среды Кореновского городского поселения </w:t>
      </w:r>
    </w:p>
    <w:p w:rsidR="0074401F" w:rsidRDefault="0074401F" w:rsidP="0074401F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 района на 2018-2022 годы»</w:t>
      </w:r>
    </w:p>
    <w:p w:rsidR="0074401F" w:rsidRDefault="0074401F" w:rsidP="0074401F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01F" w:rsidRDefault="0074401F" w:rsidP="0074401F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751"/>
        <w:gridCol w:w="1025"/>
        <w:gridCol w:w="1641"/>
        <w:gridCol w:w="1691"/>
        <w:gridCol w:w="930"/>
        <w:gridCol w:w="930"/>
        <w:gridCol w:w="930"/>
        <w:gridCol w:w="930"/>
        <w:gridCol w:w="953"/>
        <w:gridCol w:w="1986"/>
        <w:gridCol w:w="1772"/>
      </w:tblGrid>
      <w:tr w:rsidR="0074401F" w:rsidTr="0074401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финансирования. всего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 заказчик мероприятия, ответственный за выполнение мероприятий и получатель субсидий (субвенция, иных внебюджетных трансфертов)</w:t>
            </w: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01F" w:rsidTr="007440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4401F" w:rsidTr="0074401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 Кореновского городского поселения Кореновского района (приложение 1 к программе)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заасфальтированы дворовые проезды, отремонтированы тротуарные дорожки;</w:t>
            </w:r>
          </w:p>
          <w:p w:rsidR="0074401F" w:rsidRDefault="0074401F">
            <w:pPr>
              <w:widowControl/>
              <w:suppressAutoHyphens w:val="0"/>
              <w:autoSpaceDE/>
              <w:autoSpaceDN w:val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401F" w:rsidRDefault="0074401F">
            <w:pPr>
              <w:widowControl/>
              <w:suppressAutoHyphens w:val="0"/>
              <w:autoSpaceDE/>
              <w:autoSpaceDN w:val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установлены малые архитектурные формы (скамейки, лавки, урны и др.);</w:t>
            </w:r>
          </w:p>
          <w:p w:rsidR="0074401F" w:rsidRDefault="0074401F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установлены новые детские игровые и спортивные площадки</w:t>
            </w:r>
          </w:p>
          <w:p w:rsidR="0074401F" w:rsidRDefault="0074401F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401F" w:rsidRDefault="0074401F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озеленены дворовые территории</w:t>
            </w:r>
          </w:p>
          <w:p w:rsidR="0074401F" w:rsidRDefault="0074401F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01F" w:rsidTr="0074401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Благоустройство муниципальных территорий общего пользования Кореновского городского поселения Кореновского района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отремонтированы</w:t>
            </w: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тротуарные дорожки</w:t>
            </w:r>
          </w:p>
          <w:p w:rsidR="0074401F" w:rsidRDefault="0074401F">
            <w:pPr>
              <w:widowControl/>
              <w:suppressAutoHyphens w:val="0"/>
              <w:autoSpaceDE/>
              <w:autoSpaceDN w:val="0"/>
              <w:ind w:left="5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401F" w:rsidRDefault="0074401F">
            <w:pPr>
              <w:widowControl/>
              <w:suppressAutoHyphens w:val="0"/>
              <w:autoSpaceDE/>
              <w:autoSpaceDN w:val="0"/>
              <w:ind w:left="5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установлены малые архитектурные формы (скамейки, лавки, урны и др.);</w:t>
            </w:r>
          </w:p>
          <w:p w:rsidR="0074401F" w:rsidRDefault="0074401F">
            <w:pPr>
              <w:widowControl/>
              <w:suppressAutoHyphens w:val="0"/>
              <w:autoSpaceDE/>
              <w:autoSpaceDN w:val="0"/>
              <w:ind w:left="5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озеленены территории общего пользования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01F" w:rsidTr="0074401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 и проведение ее оценочной экспертизы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170.00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170.00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170.00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170.00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Изготовлена проектно-сметная документация, проведена ее оценочная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экспериза</w:t>
            </w:r>
            <w:proofErr w:type="spellEnd"/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170.00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170.00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170.00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01F" w:rsidTr="0074401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Изготовление и установка информационных щитов на территориях, подлежащих благоустройству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Изготовлены и установлены информационные щиты на территориях, подлежащих благоустройству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401F" w:rsidTr="00744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401F" w:rsidRDefault="0074401F" w:rsidP="0074401F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01F" w:rsidRDefault="0074401F" w:rsidP="0074401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sectPr w:rsidR="0074401F">
          <w:pgSz w:w="16838" w:h="11905" w:orient="landscape"/>
          <w:pgMar w:top="567" w:right="992" w:bottom="1701" w:left="851" w:header="1134" w:footer="0" w:gutter="0"/>
          <w:cols w:space="720"/>
        </w:sectPr>
      </w:pPr>
    </w:p>
    <w:p w:rsidR="0074401F" w:rsidRPr="00CD6A59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D6A59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10</w:t>
      </w: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осуществляются за счет средств бюджета Кореновского городского поселения Кореновского района при привлечении средств из федерального и краевого бюджета на условиях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условиями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:rsidR="0074401F" w:rsidRDefault="0074401F" w:rsidP="0074401F">
      <w:pPr>
        <w:suppressAutoHyphens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5.1.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Для  оценки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степени  достижения  целей  и  решения  задач  (далее  – степень  реализации)  муниципальной  программы  определяется  степень достижения  плановых  значений  каждого  целевого  показателя, характеризующего цели и задачи муниципальной программы.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5.2.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показателей,  желаемой  тенденцией  развития  которых является увеличение значений: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;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показателей,  желаемой  тенденцией  развития  которых является снижение значений: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ЗПгпл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–  степень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достижения  планового  значения  целевого  показателя, характеризующего цели и задачи муниципальной программы;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–  значение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плановое значение целевого показателя, характеризующего цели и задачи муниципальной программы.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5.3.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Степень  реализации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муниципальной программы рассчитывается  по формуле:</w:t>
      </w:r>
    </w:p>
    <w:p w:rsidR="0074401F" w:rsidRDefault="0074401F" w:rsidP="0074401F">
      <w:pPr>
        <w:autoSpaceDE/>
        <w:autoSpaceDN w:val="0"/>
        <w:ind w:firstLine="709"/>
        <w:jc w:val="center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СРгп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>= ∑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СДгппз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/ М, где: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–  степень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достижения  планового  значения  целевого  показателя (индикатора), характеризующего цели и задачи муниципальной программы;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М  –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число  целевых  показателей,  характеризующих  цели и  задачи муниципальной программы.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При  использовании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данной  формулы  в  случаях,  если 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&gt;1,  значение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принимается равным 1.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При  оценке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степени  реализации  муниципальной  программы ответственным  исполнителем  могут  определяться  коэффициенты  значимости 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lastRenderedPageBreak/>
        <w:t xml:space="preserve">отдельных  целевых  показателей. 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При  использовании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коэффициентов значимости приведенная выше формула преобразуется в следующую:</w:t>
      </w:r>
    </w:p>
    <w:p w:rsidR="0074401F" w:rsidRDefault="0074401F" w:rsidP="0074401F">
      <w:pPr>
        <w:autoSpaceDE/>
        <w:autoSpaceDN w:val="0"/>
        <w:ind w:firstLine="709"/>
        <w:jc w:val="center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= ∑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*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удельный вес, отражающий значимость показателя, ∑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=1. 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5.4. Эффективность реализации муниципальной программы оценивается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в  зависимости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0,5*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+ 0,5*∑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/п*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j, где: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эффективность реализации муниципальной программы;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/п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–  эффективность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реализации  подпрограммы  (ведомственной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целевой программы, основного мероприятия);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–  коэффициент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По  умолчанию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kjо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пределяется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 формуле: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/Ф, где: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–  объем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Ф  -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объем   фактических    расходов местного бюджета (кассового исполнения) на реализацию муниципальной программы;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j  –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количество  подпрограмм  (ведомственных  целевых  программ, основных мероприятий).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5.5.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муниципальной  программы  признается   высокой в  случае,  если значение ЭР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0,90.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менее  0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,80. </w:t>
      </w:r>
    </w:p>
    <w:p w:rsidR="0074401F" w:rsidRDefault="0074401F" w:rsidP="0074401F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муниципальной  программы  признается  удовлетворительной в случае, если значение ЭР </w:t>
      </w:r>
      <w:proofErr w:type="spellStart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0,70. 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В остальных случаях эффективность реализации </w:t>
      </w:r>
      <w:proofErr w:type="gramStart"/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 признается неудовлетворительной.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Механизм реализации муниципальной программы и контроль за ее выполнением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Ответственным исполнителем муниципальной программы является отдел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Исполнителями муниципальной программы являются: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отдел жилищно-коммунального хозяйства, благоустройства и транспорта администрации Кореновского городского поселения Кореновского района 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отдел строительства администрации Кореновского городского поселения Кореновского района.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Исполнитель муниципальной программы: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координирует деятельность исполнителей по реализации мероприятий муниципальной программы;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 На реализацию муниципальной программы могут повлиять внешние риски, а именно: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8" w:history="1"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6.6. Способами ограничения рисков являются: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CD6A59" w:rsidRDefault="00CD6A59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повышение результативности реализации программы и эффективности использования бюджетных средств;</w:t>
      </w:r>
    </w:p>
    <w:p w:rsidR="0074401F" w:rsidRDefault="0074401F" w:rsidP="0074401F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благоустройства и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администрации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Шамрай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640"/>
      </w:tblGrid>
      <w:tr w:rsidR="0074401F" w:rsidTr="0074401F">
        <w:tc>
          <w:tcPr>
            <w:tcW w:w="5070" w:type="dxa"/>
          </w:tcPr>
          <w:p w:rsidR="0074401F" w:rsidRDefault="0074401F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77" w:type="dxa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Кореновского городского поселения Кореновского района на 2018-2022 годы» </w:t>
            </w: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01F" w:rsidRDefault="0074401F" w:rsidP="0074401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дворовых территорий на территории Кореновского городского поселения Кореновского района, сформированный в соответствии с предложениями, поступившими в рамках общественного обсуждения, по результатам инвентаризации, с учетом общественного мнения</w:t>
      </w:r>
    </w:p>
    <w:p w:rsidR="0074401F" w:rsidRDefault="0074401F" w:rsidP="0074401F">
      <w:pPr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811"/>
        <w:gridCol w:w="1926"/>
        <w:gridCol w:w="1926"/>
      </w:tblGrid>
      <w:tr w:rsidR="0074401F" w:rsidTr="007440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реализации проекта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 реализацию мероприятий, тыс. руб.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4401F" w:rsidTr="007440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Фрунзе, 215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Фрунзе, 211а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Фрунзе,211а литер б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Ростовское шоссе,3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Лиманский,29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29а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Тимашевская,1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Тимашевская,1а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Тимашевская,1е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Тимашевская,3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Красная, 172а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Красная, 172б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Мира,131а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Крупской,60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Ленина. 73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 73а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Крупской,50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Ленина,64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Ленина,88а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 88б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 67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Ленина,90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Ленина,90а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Ленина,90б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Ленина,90д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Щорса,87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26 домов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бюджет-1200,00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бюджет-0,00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4401F" w:rsidTr="007440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Новые Планы,1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Новые Планы,7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Коммунаров,80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Коммунаров,80в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Красная,21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Фрунзе,130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Горького,105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Горького,111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всего-8 домов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бюджет-1200,00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бюджет-0,00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4401F" w:rsidTr="007440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Киевская,3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Киевская,3а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Киевская,9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Киевская,11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Киевская,4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Гагарина,1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Гагарина,1а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Гагарина,3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Гагарина,5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Гагарина,7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Нижняя, 2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Нижняя,4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всего-12 домов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бюджет-1200,00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бюджет-0,00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4401F" w:rsidTr="007440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Центральная,1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Рабочая,1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Рабочая,2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Рабочая,3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Рабочая,4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Рабочая,5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Рабочая,6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Рабочая,7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Рабочая,8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-9 домов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бюджет-1200,00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бюджет-0,00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бюджет-0,00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жилищно-коммунального хозяйства, благоустройства и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</w:tr>
      <w:tr w:rsidR="0074401F" w:rsidTr="007440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1.город Кореновск: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Школьная,1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Школьная,1а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Школьная,2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Школьная,3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Школьная,4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Школьная,5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Школьная,6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Школьная,7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Школьная,8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Школьная,12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Школьная,14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-11 домов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бюджет-1200,00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бюджет-0,00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</w:tbl>
    <w:p w:rsidR="0074401F" w:rsidRDefault="0074401F" w:rsidP="0074401F">
      <w:pPr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на территории Кореновского городского поселения Кореновского района, сформированный в соответствии с предложениями, поступившими в рамках общественного обсуждения, по результатам инвентаризации, с учетом общественного мнения</w:t>
      </w: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520"/>
        <w:gridCol w:w="1843"/>
        <w:gridCol w:w="1843"/>
        <w:gridCol w:w="2061"/>
      </w:tblGrid>
      <w:tr w:rsidR="0074401F" w:rsidTr="0074401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 реализацию мероприятий, тыс. руб.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4401F" w:rsidTr="0074401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Кореновск, пересечение улиц Циолковского и Фрунзе, роща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бюджет-600,00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бюджет-0,00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4401F" w:rsidTr="0074401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Кореновск, берег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Л.Бейсужек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улицы Мира до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бюджет-2400,00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бюджет-0,00</w:t>
            </w: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жилищно-коммунального хозяйства, благоустройства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 администрации Кореновского городского поселения Кореновского района</w:t>
            </w:r>
          </w:p>
        </w:tc>
      </w:tr>
    </w:tbl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благоустройства и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администрации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Шамрай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74401F" w:rsidTr="00CD6A59">
        <w:tc>
          <w:tcPr>
            <w:tcW w:w="4858" w:type="dxa"/>
          </w:tcPr>
          <w:p w:rsidR="0074401F" w:rsidRDefault="0074401F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0" w:type="dxa"/>
          </w:tcPr>
          <w:p w:rsidR="0074401F" w:rsidRDefault="0074401F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 на 2018-2022 годы»</w:t>
            </w:r>
          </w:p>
        </w:tc>
      </w:tr>
    </w:tbl>
    <w:p w:rsidR="0074401F" w:rsidRDefault="0074401F" w:rsidP="0074401F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Ремонт дворовых проездов, тротуаров</w:t>
      </w: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Установка малых архитектурных форм (урн, скамеек)</w:t>
      </w: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Работы по обеспечению освещения дворовых территорий</w:t>
      </w: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</w:t>
      </w: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детских игровых и (или) спортивных площадок</w:t>
      </w:r>
    </w:p>
    <w:p w:rsidR="0074401F" w:rsidRDefault="0074401F" w:rsidP="0074401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площадок для хозяйственных нужд</w:t>
      </w:r>
    </w:p>
    <w:p w:rsidR="0074401F" w:rsidRDefault="0074401F" w:rsidP="0074401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</w:t>
      </w:r>
    </w:p>
    <w:p w:rsidR="0074401F" w:rsidRDefault="0074401F" w:rsidP="0074401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74401F" w:rsidRDefault="0074401F" w:rsidP="0074401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пандуса</w:t>
      </w:r>
    </w:p>
    <w:p w:rsidR="0074401F" w:rsidRDefault="0074401F" w:rsidP="0074401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площадки для сбора твердых коммунальных отходов</w:t>
      </w:r>
    </w:p>
    <w:p w:rsidR="0074401F" w:rsidRDefault="0074401F" w:rsidP="007440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благоустройства и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администрации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Шамрай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781"/>
      </w:tblGrid>
      <w:tr w:rsidR="0074401F" w:rsidTr="0074401F">
        <w:tc>
          <w:tcPr>
            <w:tcW w:w="4856" w:type="dxa"/>
          </w:tcPr>
          <w:p w:rsidR="0074401F" w:rsidRDefault="0074401F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74401F" w:rsidRDefault="0074401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 на 2018-2022 годы»</w:t>
            </w:r>
          </w:p>
        </w:tc>
      </w:tr>
      <w:tr w:rsidR="0074401F" w:rsidTr="0074401F">
        <w:tc>
          <w:tcPr>
            <w:tcW w:w="4856" w:type="dxa"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hideMark/>
          </w:tcPr>
          <w:p w:rsidR="0074401F" w:rsidRDefault="007440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01F" w:rsidRDefault="0074401F" w:rsidP="0074401F">
      <w:pPr>
        <w:rPr>
          <w:vanish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«Формирования современной городской среды Кореновского городского поселения Кореновского района на 2018-2022 годы»</w:t>
      </w: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«Формирования современной городской среды Кореновского городского поселения Кореновского района на 2018-2022 годы» (далее - Порядок).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дизайн - проекта обеспечивается отделом архитектуры и градостроительства администрации Кореновского городского поселения Кореновского района.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размещению на соответствующей территории.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дизайн-проекта осуществляется с учетом нормативов градостроительного проектирования.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дизайн - проекта включает следующие стадии: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разработка дизайн - проекта;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согласование дизайн-проекта благоустройства дворовой территории с представителем заинтересованных лиц;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утверждение дизайн-проекта общественной комиссией по осуществлению контроля и координации реализации муниципальной программы «Формирование современной городской среды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района». 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Кореновского городского поселения Кореновского района согласованный дизайн-проект или мотивированные замечания.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администрация Кореновского городского поселения Кореновского района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Дизайн - проект утверждается общественной комиссией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района», решение об утверждении оформляется в виде протокола заседания комиссии. 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благоустройства и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администрации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Шамрай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74401F" w:rsidTr="0074401F">
        <w:tc>
          <w:tcPr>
            <w:tcW w:w="4926" w:type="dxa"/>
          </w:tcPr>
          <w:p w:rsidR="0074401F" w:rsidRDefault="0074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74401F" w:rsidRDefault="0074401F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74401F" w:rsidRDefault="0074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 на 2018-2022 годы»</w:t>
            </w:r>
          </w:p>
        </w:tc>
      </w:tr>
    </w:tbl>
    <w:p w:rsidR="0074401F" w:rsidRDefault="0074401F" w:rsidP="00744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трудового участия заинтересованных лиц в выполнении минимального и (или) дополнительного перечня работ по благоустройству дворовых территорий Кореновского городского поселения </w:t>
      </w: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4401F" w:rsidRDefault="0074401F" w:rsidP="00744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Заинтересованные лица принимают участие в реализации мероприятий по благоустройству дворовых территории в рамках минимального и (или) дополнительного перечней работ по благоустройству в форме трудового участия.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74401F" w:rsidRDefault="0074401F" w:rsidP="00744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Документы, подтверждающие трудовую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администрации Кореновского городского поселения Кореновского района. В качестве документов (материалов), подтверждающих трудовое участие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граждан.Документы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подтверждающие трудовое участие, представляются в администрацию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не позднее 10 календарных дней со дня окончания работ, выполняемых заинтересованными лицами.</w:t>
      </w: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1F" w:rsidRDefault="0074401F" w:rsidP="0074401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жилищно-коммунального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благоустройства и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администрации </w:t>
      </w:r>
    </w:p>
    <w:p w:rsidR="0074401F" w:rsidRDefault="0074401F" w:rsidP="0074401F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4401F" w:rsidRPr="00F841F4" w:rsidRDefault="0074401F" w:rsidP="00CD6A5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Шамрай</w:t>
      </w:r>
      <w:bookmarkStart w:id="0" w:name="_GoBack"/>
      <w:bookmarkEnd w:id="0"/>
      <w:proofErr w:type="spellEnd"/>
    </w:p>
    <w:sectPr w:rsidR="0074401F" w:rsidRPr="00F841F4" w:rsidSect="00066EBC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8F" w:rsidRDefault="00DB678F" w:rsidP="00F841F4">
      <w:r>
        <w:separator/>
      </w:r>
    </w:p>
  </w:endnote>
  <w:endnote w:type="continuationSeparator" w:id="0">
    <w:p w:rsidR="00DB678F" w:rsidRDefault="00DB678F" w:rsidP="00F8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8F" w:rsidRDefault="00DB678F" w:rsidP="00F841F4">
      <w:r>
        <w:separator/>
      </w:r>
    </w:p>
  </w:footnote>
  <w:footnote w:type="continuationSeparator" w:id="0">
    <w:p w:rsidR="00DB678F" w:rsidRDefault="00DB678F" w:rsidP="00F8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56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F841F4" w:rsidRPr="00CD6A59" w:rsidRDefault="00D55511" w:rsidP="00066EBC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CD6A5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CD6A5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CD6A5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D6A59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22</w:t>
        </w:r>
        <w:r w:rsidRPr="00CD6A5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B46"/>
    <w:multiLevelType w:val="hybridMultilevel"/>
    <w:tmpl w:val="0E0C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C301C"/>
    <w:multiLevelType w:val="multilevel"/>
    <w:tmpl w:val="6914A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5"/>
    <w:rsid w:val="00066EBC"/>
    <w:rsid w:val="001059AA"/>
    <w:rsid w:val="002A14A5"/>
    <w:rsid w:val="0033682C"/>
    <w:rsid w:val="00672AA2"/>
    <w:rsid w:val="006F7223"/>
    <w:rsid w:val="0074401F"/>
    <w:rsid w:val="008800EA"/>
    <w:rsid w:val="0096210C"/>
    <w:rsid w:val="00C162B5"/>
    <w:rsid w:val="00CD6A59"/>
    <w:rsid w:val="00D55511"/>
    <w:rsid w:val="00DB678F"/>
    <w:rsid w:val="00ED090D"/>
    <w:rsid w:val="00F8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2399A-710C-453E-937A-9415E5C1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4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4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1F4"/>
    <w:rPr>
      <w:rFonts w:ascii="Arial" w:eastAsia="Times New Roman" w:hAnsi="Arial" w:cs="Arial"/>
      <w:sz w:val="18"/>
      <w:szCs w:val="18"/>
      <w:lang w:eastAsia="ar-SA"/>
    </w:rPr>
  </w:style>
  <w:style w:type="paragraph" w:styleId="a5">
    <w:name w:val="footer"/>
    <w:basedOn w:val="a"/>
    <w:link w:val="a6"/>
    <w:uiPriority w:val="99"/>
    <w:unhideWhenUsed/>
    <w:rsid w:val="00F841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1F4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401F"/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uiPriority w:val="99"/>
    <w:semiHidden/>
    <w:rsid w:val="0074401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7440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74401F"/>
    <w:pPr>
      <w:ind w:left="720"/>
      <w:contextualSpacing/>
    </w:pPr>
  </w:style>
  <w:style w:type="table" w:styleId="ab">
    <w:name w:val="Table Grid"/>
    <w:basedOn w:val="a1"/>
    <w:uiPriority w:val="39"/>
    <w:rsid w:val="007440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74401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440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EB0CE5E51804820BA46L7B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5765</Words>
  <Characters>32862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Андрей Барыбин</cp:lastModifiedBy>
  <cp:revision>10</cp:revision>
  <cp:lastPrinted>2017-12-26T09:29:00Z</cp:lastPrinted>
  <dcterms:created xsi:type="dcterms:W3CDTF">2017-12-20T05:53:00Z</dcterms:created>
  <dcterms:modified xsi:type="dcterms:W3CDTF">2017-12-26T09:29:00Z</dcterms:modified>
</cp:coreProperties>
</file>