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89E" w:rsidRPr="00BB606D" w:rsidRDefault="0036689E" w:rsidP="001333FF">
      <w:pPr>
        <w:keepNext/>
        <w:tabs>
          <w:tab w:val="left" w:pos="0"/>
        </w:tabs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36689E">
      <w:pPr>
        <w:tabs>
          <w:tab w:val="left" w:pos="0"/>
        </w:tabs>
        <w:jc w:val="center"/>
        <w:rPr>
          <w:sz w:val="27"/>
          <w:szCs w:val="27"/>
        </w:rPr>
      </w:pPr>
    </w:p>
    <w:p w:rsidR="0036689E" w:rsidRPr="00BB606D" w:rsidRDefault="00000000">
      <w:pPr>
        <w:contextualSpacing/>
        <w:jc w:val="center"/>
        <w:rPr>
          <w:sz w:val="27"/>
          <w:szCs w:val="27"/>
        </w:rPr>
      </w:pPr>
      <w:r w:rsidRPr="00BB606D">
        <w:rPr>
          <w:b/>
          <w:sz w:val="27"/>
          <w:szCs w:val="27"/>
        </w:rPr>
        <w:t xml:space="preserve"> 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</w:t>
      </w:r>
      <w:r w:rsidR="00602761">
        <w:rPr>
          <w:b/>
          <w:sz w:val="27"/>
          <w:szCs w:val="27"/>
        </w:rPr>
        <w:t>ах</w:t>
      </w:r>
      <w:r w:rsidRPr="00BB606D">
        <w:rPr>
          <w:b/>
          <w:sz w:val="27"/>
          <w:szCs w:val="27"/>
        </w:rPr>
        <w:t xml:space="preserve"> населенных пунктов </w:t>
      </w:r>
      <w:r w:rsidR="00AC4608" w:rsidRPr="00BB606D">
        <w:rPr>
          <w:b/>
          <w:sz w:val="27"/>
          <w:szCs w:val="27"/>
        </w:rPr>
        <w:t>на территории Кореновского городского поселения Кореновского муниципального района</w:t>
      </w:r>
      <w:r w:rsidRPr="00BB606D">
        <w:rPr>
          <w:b/>
          <w:sz w:val="27"/>
          <w:szCs w:val="27"/>
        </w:rPr>
        <w:t xml:space="preserve"> Краснодарского края на 2026 год</w:t>
      </w:r>
    </w:p>
    <w:p w:rsidR="0036689E" w:rsidRPr="00BB606D" w:rsidRDefault="0036689E">
      <w:pPr>
        <w:contextualSpacing/>
        <w:jc w:val="center"/>
        <w:rPr>
          <w:sz w:val="27"/>
          <w:szCs w:val="27"/>
        </w:rPr>
      </w:pPr>
    </w:p>
    <w:p w:rsidR="0036689E" w:rsidRPr="00BB606D" w:rsidRDefault="0036689E">
      <w:pPr>
        <w:contextualSpacing/>
        <w:jc w:val="center"/>
        <w:rPr>
          <w:sz w:val="27"/>
          <w:szCs w:val="27"/>
        </w:rPr>
      </w:pPr>
    </w:p>
    <w:p w:rsidR="0036689E" w:rsidRPr="00BB606D" w:rsidRDefault="00000000">
      <w:pPr>
        <w:ind w:firstLine="709"/>
        <w:contextualSpacing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В соответствии со статьей 44 Федерального закона от 31 июля  2020 года № 248-ФЗ «О государственном контроле (надзоре) и муниципальном контроле в Российской Федерации», </w:t>
      </w:r>
      <w:r w:rsidR="00AC4608" w:rsidRPr="00BB606D">
        <w:rPr>
          <w:rFonts w:eastAsia="Arial"/>
          <w:kern w:val="1"/>
          <w:sz w:val="27"/>
          <w:szCs w:val="27"/>
          <w:lang w:eastAsia="ar-SA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BB606D">
        <w:rPr>
          <w:sz w:val="27"/>
          <w:szCs w:val="27"/>
        </w:rPr>
        <w:t xml:space="preserve">постановлением Правительства Российской Федерации от </w:t>
      </w:r>
      <w:r w:rsidR="00AC4608" w:rsidRPr="00BB606D">
        <w:rPr>
          <w:sz w:val="27"/>
          <w:szCs w:val="27"/>
        </w:rPr>
        <w:t xml:space="preserve"> </w:t>
      </w:r>
      <w:r w:rsidRPr="00BB606D">
        <w:rPr>
          <w:sz w:val="27"/>
          <w:szCs w:val="27"/>
        </w:rPr>
        <w:t xml:space="preserve">5 июня 2021 </w:t>
      </w:r>
      <w:r w:rsidR="001333FF">
        <w:rPr>
          <w:sz w:val="27"/>
          <w:szCs w:val="27"/>
        </w:rPr>
        <w:t xml:space="preserve">года </w:t>
      </w:r>
      <w:r w:rsidRPr="00BB606D">
        <w:rPr>
          <w:sz w:val="27"/>
          <w:szCs w:val="27"/>
        </w:rPr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 w:rsidR="00AC4608" w:rsidRPr="00BB606D">
        <w:rPr>
          <w:sz w:val="27"/>
          <w:szCs w:val="27"/>
        </w:rPr>
        <w:t xml:space="preserve">Уставом Кореновского городского поселения Кореновского муниципального района, </w:t>
      </w:r>
      <w:r w:rsidRPr="00BB606D">
        <w:rPr>
          <w:sz w:val="27"/>
          <w:szCs w:val="27"/>
        </w:rPr>
        <w:t xml:space="preserve">администрация </w:t>
      </w:r>
      <w:r w:rsidR="00AC4608" w:rsidRPr="00BB606D">
        <w:rPr>
          <w:sz w:val="27"/>
          <w:szCs w:val="27"/>
        </w:rPr>
        <w:t xml:space="preserve">Кореновского городского поселения Кореновского муниципального района </w:t>
      </w:r>
      <w:r w:rsidRPr="00BB606D">
        <w:rPr>
          <w:sz w:val="27"/>
          <w:szCs w:val="27"/>
        </w:rPr>
        <w:t>Краснодарского края п о с т а н о в л я е т:</w:t>
      </w:r>
    </w:p>
    <w:p w:rsidR="0036689E" w:rsidRPr="00BB606D" w:rsidRDefault="00000000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ff9"/>
          <w:sz w:val="27"/>
          <w:szCs w:val="27"/>
        </w:rPr>
      </w:pPr>
      <w:r w:rsidRPr="00BB606D">
        <w:rPr>
          <w:sz w:val="27"/>
          <w:szCs w:val="27"/>
        </w:rPr>
        <w:t>1. </w:t>
      </w:r>
      <w:r w:rsidRPr="00BB606D">
        <w:rPr>
          <w:rStyle w:val="aff9"/>
          <w:sz w:val="27"/>
          <w:szCs w:val="27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BB606D">
        <w:rPr>
          <w:rStyle w:val="aff9"/>
          <w:sz w:val="27"/>
          <w:szCs w:val="27"/>
        </w:rPr>
        <w:t xml:space="preserve">на территории Кореновского городского поселения Кореновского муниципального района </w:t>
      </w:r>
      <w:r w:rsidRPr="00BB606D">
        <w:rPr>
          <w:sz w:val="27"/>
          <w:szCs w:val="27"/>
        </w:rPr>
        <w:t>Краснодарского края</w:t>
      </w:r>
      <w:r w:rsidRPr="00BB606D">
        <w:rPr>
          <w:rStyle w:val="aff9"/>
          <w:sz w:val="27"/>
          <w:szCs w:val="27"/>
        </w:rPr>
        <w:t xml:space="preserve"> на 2026 год (прилагается)</w:t>
      </w:r>
      <w:r w:rsidRPr="00BB606D">
        <w:rPr>
          <w:sz w:val="27"/>
          <w:szCs w:val="27"/>
        </w:rPr>
        <w:t>.</w:t>
      </w:r>
    </w:p>
    <w:p w:rsidR="0036689E" w:rsidRPr="00BB606D" w:rsidRDefault="00000000">
      <w:pPr>
        <w:ind w:firstLine="737"/>
        <w:contextualSpacing/>
        <w:jc w:val="both"/>
        <w:rPr>
          <w:rStyle w:val="blk0"/>
          <w:sz w:val="27"/>
          <w:szCs w:val="27"/>
        </w:rPr>
      </w:pPr>
      <w:r w:rsidRPr="00BB606D">
        <w:rPr>
          <w:rStyle w:val="aff9"/>
          <w:sz w:val="27"/>
          <w:szCs w:val="27"/>
        </w:rPr>
        <w:t>2.</w:t>
      </w:r>
      <w:r w:rsidR="00AC4608" w:rsidRPr="00BB606D">
        <w:rPr>
          <w:rStyle w:val="aff9"/>
          <w:sz w:val="27"/>
          <w:szCs w:val="27"/>
        </w:rPr>
        <w:t xml:space="preserve"> </w:t>
      </w:r>
      <w:r w:rsidRPr="00BB606D">
        <w:rPr>
          <w:rStyle w:val="aff9"/>
          <w:sz w:val="27"/>
          <w:szCs w:val="27"/>
        </w:rPr>
        <w:t xml:space="preserve">Отделу </w:t>
      </w:r>
      <w:r w:rsidR="00AC4608" w:rsidRPr="00BB606D">
        <w:rPr>
          <w:rStyle w:val="aff9"/>
          <w:sz w:val="27"/>
          <w:szCs w:val="27"/>
        </w:rPr>
        <w:t xml:space="preserve">строительства администрации Кореновского городского поселения Кореновского муниципального района </w:t>
      </w:r>
      <w:r w:rsidRPr="00BB606D">
        <w:rPr>
          <w:rStyle w:val="aff9"/>
          <w:sz w:val="27"/>
          <w:szCs w:val="27"/>
        </w:rPr>
        <w:t xml:space="preserve">Краснодарского края обеспечить выполнение мероприятий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BB606D">
        <w:rPr>
          <w:rStyle w:val="aff9"/>
          <w:sz w:val="27"/>
          <w:szCs w:val="27"/>
        </w:rPr>
        <w:t xml:space="preserve">на территории </w:t>
      </w:r>
      <w:r w:rsidR="00AC4608" w:rsidRPr="00BB606D">
        <w:rPr>
          <w:rStyle w:val="aff9"/>
          <w:sz w:val="27"/>
          <w:szCs w:val="27"/>
        </w:rPr>
        <w:lastRenderedPageBreak/>
        <w:t xml:space="preserve">Кореновского городского поселения Кореновского муниципального района </w:t>
      </w:r>
      <w:r w:rsidRPr="00BB606D">
        <w:rPr>
          <w:sz w:val="27"/>
          <w:szCs w:val="27"/>
        </w:rPr>
        <w:t>Краснодарского края</w:t>
      </w:r>
      <w:r w:rsidRPr="00BB606D">
        <w:rPr>
          <w:rStyle w:val="aff9"/>
          <w:sz w:val="27"/>
          <w:szCs w:val="27"/>
        </w:rPr>
        <w:t xml:space="preserve"> на 2026 год.</w:t>
      </w:r>
    </w:p>
    <w:p w:rsidR="00AC4608" w:rsidRPr="00BB606D" w:rsidRDefault="00AC4608" w:rsidP="00AC4608">
      <w:pPr>
        <w:numPr>
          <w:ilvl w:val="0"/>
          <w:numId w:val="2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spacing w:val="-4"/>
          <w:kern w:val="1"/>
          <w:sz w:val="27"/>
          <w:szCs w:val="27"/>
          <w:lang w:eastAsia="ar-SA"/>
        </w:rPr>
      </w:pPr>
      <w:r w:rsidRPr="00BB606D">
        <w:rPr>
          <w:rFonts w:eastAsia="Arial"/>
          <w:spacing w:val="-4"/>
          <w:kern w:val="1"/>
          <w:sz w:val="27"/>
          <w:szCs w:val="27"/>
          <w:lang w:eastAsia="ar-SA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Pr="00BB606D">
        <w:rPr>
          <w:rFonts w:eastAsia="Arial"/>
          <w:spacing w:val="-4"/>
          <w:kern w:val="1"/>
          <w:sz w:val="27"/>
          <w:szCs w:val="27"/>
          <w:lang w:eastAsia="ar-SA"/>
        </w:rPr>
        <w:t>Козыренко</w:t>
      </w:r>
      <w:proofErr w:type="spellEnd"/>
      <w:r w:rsidRPr="00BB606D">
        <w:rPr>
          <w:rFonts w:eastAsia="Arial"/>
          <w:spacing w:val="-4"/>
          <w:kern w:val="1"/>
          <w:sz w:val="27"/>
          <w:szCs w:val="27"/>
          <w:lang w:eastAsia="ar-SA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:rsidR="00AC4608" w:rsidRPr="00BB606D" w:rsidRDefault="00AC4608" w:rsidP="00AC4608">
      <w:pPr>
        <w:tabs>
          <w:tab w:val="left" w:pos="0"/>
        </w:tabs>
        <w:autoSpaceDE w:val="0"/>
        <w:ind w:firstLine="709"/>
        <w:jc w:val="both"/>
        <w:rPr>
          <w:rFonts w:eastAsia="Arial"/>
          <w:spacing w:val="-4"/>
          <w:kern w:val="1"/>
          <w:sz w:val="27"/>
          <w:szCs w:val="27"/>
          <w:lang w:eastAsia="ar-SA"/>
        </w:rPr>
      </w:pPr>
      <w:r w:rsidRPr="00BB606D">
        <w:rPr>
          <w:rFonts w:eastAsia="Arial"/>
          <w:spacing w:val="-4"/>
          <w:kern w:val="1"/>
          <w:sz w:val="27"/>
          <w:szCs w:val="27"/>
          <w:lang w:eastAsia="ar-SA"/>
        </w:rPr>
        <w:t>3.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Р.М. Гаджиева.</w:t>
      </w:r>
    </w:p>
    <w:p w:rsidR="00AC4608" w:rsidRPr="00BB606D" w:rsidRDefault="00AC4608" w:rsidP="00AC4608">
      <w:pPr>
        <w:tabs>
          <w:tab w:val="left" w:pos="0"/>
        </w:tabs>
        <w:autoSpaceDE w:val="0"/>
        <w:ind w:firstLine="709"/>
        <w:jc w:val="both"/>
        <w:rPr>
          <w:rFonts w:eastAsia="Arial"/>
          <w:spacing w:val="-3"/>
          <w:kern w:val="1"/>
          <w:sz w:val="27"/>
          <w:szCs w:val="27"/>
          <w:lang w:eastAsia="ar-SA"/>
        </w:rPr>
      </w:pPr>
      <w:r w:rsidRPr="00BB606D">
        <w:rPr>
          <w:rFonts w:eastAsia="Arial"/>
          <w:spacing w:val="-3"/>
          <w:kern w:val="1"/>
          <w:sz w:val="27"/>
          <w:szCs w:val="27"/>
          <w:lang w:eastAsia="ar-SA"/>
        </w:rPr>
        <w:t>4. Постановление вступает в силу после его официального обнародования.</w:t>
      </w:r>
    </w:p>
    <w:p w:rsidR="0036689E" w:rsidRPr="00BB606D" w:rsidRDefault="0036689E">
      <w:pPr>
        <w:contextualSpacing/>
        <w:jc w:val="both"/>
        <w:rPr>
          <w:rStyle w:val="blk0"/>
          <w:sz w:val="27"/>
          <w:szCs w:val="27"/>
        </w:rPr>
      </w:pPr>
    </w:p>
    <w:p w:rsidR="0036689E" w:rsidRPr="00BB606D" w:rsidRDefault="0036689E">
      <w:pPr>
        <w:contextualSpacing/>
        <w:jc w:val="both"/>
        <w:rPr>
          <w:rStyle w:val="blk0"/>
          <w:sz w:val="27"/>
          <w:szCs w:val="27"/>
        </w:rPr>
      </w:pPr>
    </w:p>
    <w:p w:rsidR="0036689E" w:rsidRPr="00BB606D" w:rsidRDefault="00000000">
      <w:pPr>
        <w:contextualSpacing/>
        <w:jc w:val="both"/>
        <w:rPr>
          <w:rStyle w:val="blk0"/>
          <w:sz w:val="27"/>
          <w:szCs w:val="27"/>
        </w:rPr>
      </w:pPr>
      <w:r w:rsidRPr="00BB606D">
        <w:rPr>
          <w:rStyle w:val="blk0"/>
          <w:sz w:val="27"/>
          <w:szCs w:val="27"/>
        </w:rPr>
        <w:t xml:space="preserve">Глава </w:t>
      </w:r>
    </w:p>
    <w:p w:rsidR="0036689E" w:rsidRPr="00BB606D" w:rsidRDefault="003A73F5">
      <w:pPr>
        <w:contextualSpacing/>
        <w:jc w:val="both"/>
        <w:rPr>
          <w:rStyle w:val="blk0"/>
          <w:sz w:val="27"/>
          <w:szCs w:val="27"/>
        </w:rPr>
      </w:pPr>
      <w:r w:rsidRPr="00BB606D">
        <w:rPr>
          <w:rStyle w:val="blk0"/>
          <w:sz w:val="27"/>
          <w:szCs w:val="27"/>
        </w:rPr>
        <w:t>Кореновского городского поселения</w:t>
      </w:r>
    </w:p>
    <w:p w:rsidR="0036689E" w:rsidRPr="00BB606D" w:rsidRDefault="003A73F5">
      <w:pPr>
        <w:tabs>
          <w:tab w:val="left" w:pos="9637"/>
        </w:tabs>
        <w:contextualSpacing/>
        <w:jc w:val="both"/>
        <w:rPr>
          <w:sz w:val="27"/>
          <w:szCs w:val="27"/>
        </w:rPr>
      </w:pPr>
      <w:r w:rsidRPr="00BB606D">
        <w:rPr>
          <w:rStyle w:val="blk0"/>
          <w:sz w:val="27"/>
          <w:szCs w:val="27"/>
        </w:rPr>
        <w:t>Кореновского муниципального района</w:t>
      </w:r>
    </w:p>
    <w:p w:rsidR="0036689E" w:rsidRPr="00BB606D" w:rsidRDefault="00000000">
      <w:pPr>
        <w:tabs>
          <w:tab w:val="left" w:pos="9637"/>
        </w:tabs>
        <w:contextualSpacing/>
        <w:jc w:val="both"/>
        <w:rPr>
          <w:sz w:val="27"/>
          <w:szCs w:val="27"/>
        </w:rPr>
      </w:pPr>
      <w:r w:rsidRPr="00BB606D">
        <w:rPr>
          <w:rStyle w:val="blk0"/>
          <w:sz w:val="27"/>
          <w:szCs w:val="27"/>
        </w:rPr>
        <w:t xml:space="preserve">Краснодарского края                                                               </w:t>
      </w:r>
      <w:r w:rsidR="003A73F5" w:rsidRPr="00BB606D">
        <w:rPr>
          <w:rStyle w:val="blk0"/>
          <w:sz w:val="27"/>
          <w:szCs w:val="27"/>
        </w:rPr>
        <w:t xml:space="preserve">  </w:t>
      </w:r>
      <w:r w:rsidR="001333FF">
        <w:rPr>
          <w:rStyle w:val="blk0"/>
          <w:sz w:val="27"/>
          <w:szCs w:val="27"/>
        </w:rPr>
        <w:t xml:space="preserve">        </w:t>
      </w:r>
      <w:r w:rsidR="003A73F5" w:rsidRPr="00BB606D">
        <w:rPr>
          <w:rStyle w:val="blk0"/>
          <w:sz w:val="27"/>
          <w:szCs w:val="27"/>
        </w:rPr>
        <w:t xml:space="preserve">  </w:t>
      </w:r>
      <w:r w:rsidRPr="00BB606D">
        <w:rPr>
          <w:rStyle w:val="blk0"/>
          <w:sz w:val="27"/>
          <w:szCs w:val="27"/>
        </w:rPr>
        <w:t xml:space="preserve">     </w:t>
      </w:r>
      <w:r w:rsidR="003A73F5" w:rsidRPr="00BB606D">
        <w:rPr>
          <w:rStyle w:val="blk0"/>
          <w:sz w:val="27"/>
          <w:szCs w:val="27"/>
        </w:rPr>
        <w:t xml:space="preserve">М.О. </w:t>
      </w:r>
      <w:proofErr w:type="spellStart"/>
      <w:r w:rsidR="003A73F5" w:rsidRPr="00BB606D">
        <w:rPr>
          <w:rStyle w:val="blk0"/>
          <w:sz w:val="27"/>
          <w:szCs w:val="27"/>
        </w:rPr>
        <w:t>Шутылев</w:t>
      </w:r>
      <w:proofErr w:type="spellEnd"/>
    </w:p>
    <w:p w:rsidR="0036689E" w:rsidRPr="00BB606D" w:rsidRDefault="0036689E">
      <w:pPr>
        <w:ind w:left="5664" w:firstLine="708"/>
        <w:contextualSpacing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1333FF" w:rsidRDefault="001333FF">
      <w:pPr>
        <w:ind w:left="5386" w:firstLine="5"/>
        <w:contextualSpacing/>
        <w:jc w:val="center"/>
        <w:rPr>
          <w:sz w:val="27"/>
          <w:szCs w:val="27"/>
        </w:rPr>
      </w:pPr>
    </w:p>
    <w:p w:rsidR="001333FF" w:rsidRPr="00BB606D" w:rsidRDefault="001333FF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6689E" w:rsidRPr="00BB606D" w:rsidRDefault="00000000">
      <w:pPr>
        <w:ind w:left="5386" w:firstLine="5"/>
        <w:contextualSpacing/>
        <w:jc w:val="center"/>
        <w:rPr>
          <w:sz w:val="27"/>
          <w:szCs w:val="27"/>
        </w:rPr>
      </w:pPr>
      <w:r w:rsidRPr="00BB606D">
        <w:rPr>
          <w:sz w:val="27"/>
          <w:szCs w:val="27"/>
        </w:rPr>
        <w:lastRenderedPageBreak/>
        <w:t>ПРИЛОЖЕНИЕ</w:t>
      </w:r>
    </w:p>
    <w:p w:rsidR="0036689E" w:rsidRPr="00BB606D" w:rsidRDefault="00000000">
      <w:pPr>
        <w:ind w:left="5103"/>
        <w:contextualSpacing/>
        <w:jc w:val="center"/>
        <w:rPr>
          <w:sz w:val="27"/>
          <w:szCs w:val="27"/>
        </w:rPr>
      </w:pPr>
      <w:r w:rsidRPr="00BB606D">
        <w:rPr>
          <w:sz w:val="27"/>
          <w:szCs w:val="27"/>
        </w:rPr>
        <w:t>к постановлению администрации</w:t>
      </w:r>
    </w:p>
    <w:p w:rsidR="0036689E" w:rsidRPr="00BB606D" w:rsidRDefault="001333FF">
      <w:pPr>
        <w:ind w:left="5103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Кореновского городского поселения</w:t>
      </w:r>
    </w:p>
    <w:p w:rsidR="0036689E" w:rsidRDefault="00000000">
      <w:pPr>
        <w:ind w:left="5103"/>
        <w:contextualSpacing/>
        <w:jc w:val="center"/>
        <w:rPr>
          <w:sz w:val="27"/>
          <w:szCs w:val="27"/>
        </w:rPr>
      </w:pPr>
      <w:r w:rsidRPr="00BB606D">
        <w:rPr>
          <w:sz w:val="27"/>
          <w:szCs w:val="27"/>
        </w:rPr>
        <w:t xml:space="preserve">Кореновского </w:t>
      </w:r>
      <w:r w:rsidR="001333FF">
        <w:rPr>
          <w:sz w:val="27"/>
          <w:szCs w:val="27"/>
        </w:rPr>
        <w:t xml:space="preserve">муниципального </w:t>
      </w:r>
      <w:r w:rsidRPr="00BB606D">
        <w:rPr>
          <w:sz w:val="27"/>
          <w:szCs w:val="27"/>
        </w:rPr>
        <w:t>района</w:t>
      </w:r>
    </w:p>
    <w:p w:rsidR="001333FF" w:rsidRPr="00BB606D" w:rsidRDefault="001333FF">
      <w:pPr>
        <w:ind w:left="5103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Краснодарского края</w:t>
      </w:r>
    </w:p>
    <w:p w:rsidR="0036689E" w:rsidRPr="00BB606D" w:rsidRDefault="00000000">
      <w:pPr>
        <w:ind w:left="5103"/>
        <w:contextualSpacing/>
        <w:jc w:val="center"/>
        <w:rPr>
          <w:b/>
          <w:sz w:val="27"/>
          <w:szCs w:val="27"/>
        </w:rPr>
      </w:pPr>
      <w:r w:rsidRPr="00BB606D">
        <w:rPr>
          <w:sz w:val="27"/>
          <w:szCs w:val="27"/>
        </w:rPr>
        <w:t xml:space="preserve"> от________ № _______</w:t>
      </w: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6689E" w:rsidRPr="00BB606D" w:rsidRDefault="00000000">
      <w:pPr>
        <w:contextualSpacing/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Программа профилактики </w:t>
      </w:r>
    </w:p>
    <w:p w:rsidR="0036689E" w:rsidRPr="00BB606D" w:rsidRDefault="00000000">
      <w:pPr>
        <w:contextualSpacing/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3A73F5" w:rsidRPr="00BB606D">
        <w:rPr>
          <w:b/>
          <w:sz w:val="27"/>
          <w:szCs w:val="27"/>
        </w:rPr>
        <w:t xml:space="preserve">на территории Кореновского городского поселения Кореновского муниципального района </w:t>
      </w:r>
      <w:r w:rsidRPr="00BB606D">
        <w:rPr>
          <w:b/>
          <w:sz w:val="27"/>
          <w:szCs w:val="27"/>
        </w:rPr>
        <w:t>Краснодарского края</w:t>
      </w:r>
      <w:r w:rsidRPr="00BB606D">
        <w:rPr>
          <w:rStyle w:val="aff9"/>
          <w:b/>
          <w:sz w:val="27"/>
          <w:szCs w:val="27"/>
        </w:rPr>
        <w:t xml:space="preserve"> </w:t>
      </w:r>
      <w:r w:rsidRPr="00BB606D">
        <w:rPr>
          <w:b/>
          <w:sz w:val="27"/>
          <w:szCs w:val="27"/>
        </w:rPr>
        <w:t>на 2026 год</w:t>
      </w: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A73F5" w:rsidRPr="001333FF" w:rsidRDefault="003A73F5" w:rsidP="003A73F5">
      <w:pPr>
        <w:widowControl w:val="0"/>
        <w:autoSpaceDE w:val="0"/>
        <w:spacing w:before="108" w:after="108"/>
        <w:jc w:val="center"/>
        <w:rPr>
          <w:b/>
          <w:sz w:val="27"/>
          <w:szCs w:val="27"/>
        </w:rPr>
      </w:pPr>
      <w:r w:rsidRPr="001333FF">
        <w:rPr>
          <w:b/>
          <w:color w:val="26282F"/>
          <w:sz w:val="27"/>
          <w:szCs w:val="27"/>
        </w:rPr>
        <w:t>Раздел 1. Общие положения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1.1. 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муниципального района Краснодарского края на 2026 год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1.2. Программа разработана в соответствии с: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постановлением Правительства Российской Федерации от 25 июня              2021 года № 990 </w:t>
      </w:r>
      <w:r w:rsidRPr="00BB606D">
        <w:rPr>
          <w:rFonts w:eastAsia="Arial"/>
          <w:kern w:val="2"/>
          <w:sz w:val="27"/>
          <w:szCs w:val="27"/>
          <w:lang w:eastAsia="ar-SA"/>
        </w:rPr>
        <w:t>«</w:t>
      </w:r>
      <w:r w:rsidRPr="00BB606D">
        <w:rPr>
          <w:sz w:val="27"/>
          <w:szCs w:val="27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BB606D">
        <w:rPr>
          <w:rFonts w:eastAsia="Arial"/>
          <w:kern w:val="2"/>
          <w:sz w:val="27"/>
          <w:szCs w:val="27"/>
          <w:lang w:eastAsia="ar-SA"/>
        </w:rPr>
        <w:t>»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1.3. Срок реализации Программы – 2026 год.  </w:t>
      </w:r>
    </w:p>
    <w:p w:rsidR="003A73F5" w:rsidRPr="00BB606D" w:rsidRDefault="003A73F5">
      <w:pPr>
        <w:contextualSpacing/>
        <w:rPr>
          <w:b/>
          <w:sz w:val="27"/>
          <w:szCs w:val="27"/>
        </w:rPr>
      </w:pPr>
    </w:p>
    <w:p w:rsidR="0036689E" w:rsidRPr="00BB606D" w:rsidRDefault="00000000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Раздел </w:t>
      </w:r>
      <w:r w:rsidR="00625120" w:rsidRPr="00BB606D">
        <w:rPr>
          <w:b/>
          <w:sz w:val="27"/>
          <w:szCs w:val="27"/>
          <w:lang w:val="en-US"/>
        </w:rPr>
        <w:t>II</w:t>
      </w:r>
    </w:p>
    <w:p w:rsidR="0036689E" w:rsidRPr="00BB606D" w:rsidRDefault="00000000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Анализ текущего состояния осуществления муниципального </w:t>
      </w:r>
    </w:p>
    <w:p w:rsidR="0036689E" w:rsidRPr="00BB606D" w:rsidRDefault="00000000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контроля, описание текущего уровня развития профилактической </w:t>
      </w:r>
    </w:p>
    <w:p w:rsidR="0036689E" w:rsidRPr="00BB606D" w:rsidRDefault="00000000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lastRenderedPageBreak/>
        <w:t xml:space="preserve">деятельности, характеристика проблем, на решение </w:t>
      </w:r>
    </w:p>
    <w:p w:rsidR="0036689E" w:rsidRPr="00BB606D" w:rsidRDefault="00000000">
      <w:pPr>
        <w:contextualSpacing/>
        <w:jc w:val="center"/>
        <w:rPr>
          <w:sz w:val="27"/>
          <w:szCs w:val="27"/>
        </w:rPr>
      </w:pPr>
      <w:r w:rsidRPr="00BB606D">
        <w:rPr>
          <w:b/>
          <w:sz w:val="27"/>
          <w:szCs w:val="27"/>
        </w:rPr>
        <w:t xml:space="preserve">которых направлена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625120" w:rsidRPr="00BB606D">
        <w:rPr>
          <w:b/>
          <w:sz w:val="27"/>
          <w:szCs w:val="27"/>
        </w:rPr>
        <w:t>на территории Кореновского городского поселения Кореновс</w:t>
      </w:r>
      <w:r w:rsidR="00BB606D" w:rsidRPr="00BB606D">
        <w:rPr>
          <w:b/>
          <w:sz w:val="27"/>
          <w:szCs w:val="27"/>
        </w:rPr>
        <w:t>кого муниципального района</w:t>
      </w:r>
      <w:r w:rsidRPr="00BB606D">
        <w:rPr>
          <w:b/>
          <w:sz w:val="27"/>
          <w:szCs w:val="27"/>
        </w:rPr>
        <w:t xml:space="preserve"> Краснодарского края</w:t>
      </w:r>
    </w:p>
    <w:p w:rsidR="0036689E" w:rsidRPr="00BB606D" w:rsidRDefault="0036689E">
      <w:pPr>
        <w:contextualSpacing/>
        <w:jc w:val="center"/>
        <w:rPr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поселения.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 </w:t>
      </w:r>
      <w:r w:rsidR="001333FF">
        <w:rPr>
          <w:bCs/>
          <w:color w:val="26282F"/>
          <w:sz w:val="27"/>
          <w:szCs w:val="27"/>
        </w:rPr>
        <w:t xml:space="preserve">на территории Кореновского городского </w:t>
      </w:r>
      <w:r w:rsidRPr="00BB606D">
        <w:rPr>
          <w:bCs/>
          <w:color w:val="26282F"/>
          <w:sz w:val="27"/>
          <w:szCs w:val="27"/>
        </w:rPr>
        <w:t>поселения Кореновского муниципального района Краснодарского края является соблюдение гражданами и организациями (далее – контролируемые лица) обязательных требований: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в области автомобильных дорог и дорожной деятельности, установленных в отношении автомобильных дорог: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к эксплуатации объектов дорожного сервиса, размещенных в полосах отвода автомобильных дорог общего пользования;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2.3. Объектами муниципального контроля на автомобильном транспорте, городском наземном электрическом транспорте и в дорожном хозяйстве </w:t>
      </w:r>
      <w:r w:rsidR="001333FF">
        <w:rPr>
          <w:bCs/>
          <w:color w:val="26282F"/>
          <w:sz w:val="27"/>
          <w:szCs w:val="27"/>
        </w:rPr>
        <w:t>на территории</w:t>
      </w:r>
      <w:r w:rsidRPr="00BB606D">
        <w:rPr>
          <w:bCs/>
          <w:color w:val="26282F"/>
          <w:sz w:val="27"/>
          <w:szCs w:val="27"/>
        </w:rPr>
        <w:t xml:space="preserve"> населенных пунктов поселения являются: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поселения.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lastRenderedPageBreak/>
        <w:t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BB606D" w:rsidRDefault="00BB606D" w:rsidP="00BB606D">
      <w:pPr>
        <w:autoSpaceDE w:val="0"/>
        <w:jc w:val="center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 Цели и задачи реализации Программы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3.1. Целями реализации Программы являются: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предупреждение нарушений обязательных требований при осуществлении муниципального контроля;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д) повышение прозрачности системы контрольной деятельности.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3.2. Задачами реализации Программы являются: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д) формирование единого понимания обязательных требований у всех участников контрольной деятельности;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ж) снижение издержек контрольной деятельности и административной нагрузки на контролируемых лиц.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4. Перечень профилактических мероприятий, сроки (периодичность) их</w:t>
      </w:r>
      <w:r>
        <w:rPr>
          <w:bCs/>
          <w:color w:val="26282F"/>
          <w:sz w:val="27"/>
          <w:szCs w:val="27"/>
        </w:rPr>
        <w:t xml:space="preserve"> </w:t>
      </w:r>
      <w:r w:rsidRPr="00BB606D">
        <w:rPr>
          <w:bCs/>
          <w:color w:val="26282F"/>
          <w:sz w:val="27"/>
          <w:szCs w:val="27"/>
        </w:rPr>
        <w:t>проведения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lastRenderedPageBreak/>
        <w:t xml:space="preserve">4.1.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в 2026 году будут проводиться следующие профилактические мероприятия: 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1) информирование;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2) обобщение правоприменительной практики; </w:t>
      </w:r>
    </w:p>
    <w:p w:rsidR="00BB606D" w:rsidRP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3) меры стимулирования добросовестности;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4) объявление предостережения;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5) консультирование;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6) самообследование;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7) профилактический визит.</w:t>
      </w:r>
    </w:p>
    <w:p w:rsid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:rsidR="001333FF" w:rsidRPr="00BB606D" w:rsidRDefault="001333FF" w:rsidP="00BB606D">
      <w:pPr>
        <w:autoSpaceDE w:val="0"/>
        <w:ind w:firstLine="709"/>
        <w:jc w:val="both"/>
        <w:rPr>
          <w:sz w:val="27"/>
          <w:szCs w:val="27"/>
        </w:rPr>
      </w:pPr>
    </w:p>
    <w:p w:rsidR="00BB606D" w:rsidRPr="00BB606D" w:rsidRDefault="00BB606D" w:rsidP="00BB606D">
      <w:pPr>
        <w:autoSpaceDE w:val="0"/>
        <w:jc w:val="right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Таблица </w:t>
      </w: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Перечень профилактических мероприятий, сроки (периодичность) их</w:t>
      </w: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sz w:val="27"/>
          <w:szCs w:val="27"/>
        </w:rPr>
        <w:t>проведения</w:t>
      </w:r>
    </w:p>
    <w:tbl>
      <w:tblPr>
        <w:tblW w:w="9517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402"/>
        <w:gridCol w:w="2126"/>
        <w:gridCol w:w="2004"/>
      </w:tblGrid>
      <w:tr w:rsidR="00BB606D" w:rsidRPr="00BB606D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№</w:t>
            </w:r>
          </w:p>
          <w:p w:rsidR="00BB606D" w:rsidRPr="00BB606D" w:rsidRDefault="00BB606D" w:rsidP="00344712">
            <w:pPr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6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06D"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Сроки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(периодичность) их проведения</w:t>
            </w:r>
          </w:p>
        </w:tc>
      </w:tr>
      <w:tr w:rsidR="00BB606D" w:rsidRPr="00BB606D" w:rsidTr="00344712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3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</w:t>
            </w:r>
            <w:r w:rsidR="001333FF">
              <w:rPr>
                <w:rFonts w:eastAsia="Calibri"/>
                <w:sz w:val="22"/>
                <w:szCs w:val="22"/>
              </w:rPr>
              <w:t xml:space="preserve">тдел строительства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необходимости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</w:t>
            </w:r>
          </w:p>
        </w:tc>
      </w:tr>
      <w:tr w:rsidR="00BB606D" w:rsidRPr="00BB606D" w:rsidTr="00344712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BB606D" w:rsidRPr="00BB606D" w:rsidTr="00344712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обновления</w:t>
            </w:r>
          </w:p>
        </w:tc>
      </w:tr>
      <w:tr w:rsidR="00BB606D" w:rsidRPr="00BB606D" w:rsidTr="00344712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По итогам обобщения правоприменительной практики орган контроля ежегодно подготавливает доклад, содержащий результаты обобщения правоприменительной практики по осуществлению муниципального контроля, который в обязательном порядке </w:t>
            </w:r>
            <w:r w:rsidRPr="00BB606D">
              <w:rPr>
                <w:sz w:val="22"/>
                <w:szCs w:val="22"/>
              </w:rPr>
              <w:lastRenderedPageBreak/>
              <w:t>размещается на официальном сайте органа муниципального контроля.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В срок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до 15 марта года, следующего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за отчетным</w:t>
            </w:r>
          </w:p>
        </w:tc>
      </w:tr>
      <w:tr w:rsidR="00BB606D" w:rsidRPr="00BB606D" w:rsidTr="00344712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Меры стимулирования </w:t>
            </w:r>
          </w:p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добросовестности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hd w:val="clear" w:color="auto" w:fill="FFFFFF"/>
              <w:rPr>
                <w:sz w:val="22"/>
                <w:szCs w:val="22"/>
              </w:rPr>
            </w:pPr>
            <w:r w:rsidRPr="00BB606D">
              <w:rPr>
                <w:color w:val="22272F"/>
                <w:sz w:val="22"/>
                <w:szCs w:val="22"/>
                <w:shd w:val="clear" w:color="auto" w:fill="FFFFFF"/>
              </w:rPr>
      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      </w:r>
          </w:p>
          <w:p w:rsidR="00BB606D" w:rsidRPr="00BB606D" w:rsidRDefault="00BB606D" w:rsidP="00344712">
            <w:pPr>
              <w:shd w:val="clear" w:color="auto" w:fill="FFFFFF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Стимулирование добросовестного соблюдения обязательных</w:t>
            </w:r>
          </w:p>
          <w:p w:rsidR="00BB606D" w:rsidRPr="00BB606D" w:rsidRDefault="00BB606D" w:rsidP="00344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требований всеми контролируемыми лицами</w:t>
            </w:r>
          </w:p>
          <w:p w:rsidR="00BB606D" w:rsidRPr="00BB606D" w:rsidRDefault="00BB606D" w:rsidP="00344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606D">
              <w:rPr>
                <w:color w:val="22272F"/>
                <w:sz w:val="22"/>
                <w:szCs w:val="22"/>
                <w:shd w:val="clear" w:color="auto" w:fill="FFFFFF"/>
              </w:rPr>
              <w:t>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требований.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Должностные лица органа муниципального контроля по обращениям контролируемых лиц и их представителей осуществляют консультирование. В ходе консультирования даются разъяснения по вопросам, связанным с организацией и осуществлением муниципального контроля: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обязательные требования, соблюдение которых является предметом осуществления муниципального контроля;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lastRenderedPageBreak/>
              <w:t>- порядок, периодичность и сроки проведения контрольных мероприятий;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права и обязанности контролируемых лиц и должностных лиц органа муниципального контроля;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порядок обжалований решений и (или) действий должностных лиц органа муниципального контроля.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Консультирование может осуществляться должностными лицами органа муниципального контроля: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 телефону;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на личном приеме;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в ходе проведения профилактического или контрольного мероприятия;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- контролируемые лица могут подать заявление о проведении консультирования через информационную систему "Единый портал».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Самообследование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B606D">
              <w:rPr>
                <w:sz w:val="22"/>
                <w:szCs w:val="22"/>
                <w:shd w:val="clear" w:color="auto" w:fill="FFFFFF"/>
              </w:rPr>
      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  <w:shd w:val="clear" w:color="auto" w:fill="FFFFFF"/>
              </w:rPr>
              <w:t>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самообследование без идентификации пользователя.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 xml:space="preserve">Профилактический визит проводится в форме профилактической беседы должностным лицом органа муниципального контроля по месту осуществления деятельности контролируемого </w:t>
            </w:r>
            <w:r w:rsidRPr="00BB606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лица, либо путем использования видео-конференц-связи. </w:t>
            </w:r>
          </w:p>
          <w:p w:rsidR="00BB606D" w:rsidRPr="00BB606D" w:rsidRDefault="00BB606D" w:rsidP="001333FF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деятельности,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1333FF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5. Показатели результативности и эффективности Программы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снижение количества однотипных и повторяющихся нарушений одним и тем же подконтрольным субъектом.</w:t>
      </w:r>
    </w:p>
    <w:p w:rsidR="00BB606D" w:rsidRPr="00BB606D" w:rsidRDefault="00BB606D" w:rsidP="00BB606D">
      <w:pPr>
        <w:autoSpaceDE w:val="0"/>
        <w:ind w:firstLine="709"/>
        <w:jc w:val="both"/>
        <w:rPr>
          <w:color w:val="22272F"/>
          <w:sz w:val="27"/>
          <w:szCs w:val="27"/>
          <w:shd w:val="clear" w:color="auto" w:fill="FFFFFF"/>
        </w:rPr>
      </w:pPr>
      <w:r w:rsidRPr="00BB606D">
        <w:rPr>
          <w:bCs/>
          <w:color w:val="26282F"/>
          <w:sz w:val="27"/>
          <w:szCs w:val="27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1333FF">
        <w:rPr>
          <w:bCs/>
          <w:color w:val="26282F"/>
          <w:sz w:val="27"/>
          <w:szCs w:val="27"/>
        </w:rPr>
        <w:t xml:space="preserve">            </w:t>
      </w:r>
      <w:r w:rsidRPr="00BB606D">
        <w:rPr>
          <w:bCs/>
          <w:color w:val="26282F"/>
          <w:sz w:val="27"/>
          <w:szCs w:val="27"/>
        </w:rPr>
        <w:t>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  <w:r w:rsidRPr="00BB606D">
        <w:rPr>
          <w:color w:val="22272F"/>
          <w:sz w:val="27"/>
          <w:szCs w:val="27"/>
          <w:shd w:val="clear" w:color="auto" w:fill="FFFFFF"/>
        </w:rPr>
        <w:t xml:space="preserve"> 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lastRenderedPageBreak/>
        <w:t xml:space="preserve">5.2. Сведения о достижении показателей результативности и эффективности Программы включаются администрацией </w:t>
      </w:r>
      <w:r w:rsidR="001333FF">
        <w:rPr>
          <w:bCs/>
          <w:color w:val="26282F"/>
          <w:sz w:val="27"/>
          <w:szCs w:val="27"/>
        </w:rPr>
        <w:t>Кореновского городского</w:t>
      </w:r>
      <w:r w:rsidRPr="00BB606D">
        <w:rPr>
          <w:bCs/>
          <w:color w:val="26282F"/>
          <w:sz w:val="27"/>
          <w:szCs w:val="27"/>
        </w:rPr>
        <w:t xml:space="preserve"> поселения Кореновского муниципального района Краснодарского края в состав доклада о виде муниципального контроля в соответствии со статьей 30 Федерального закона от </w:t>
      </w:r>
      <w:r w:rsidR="001333FF">
        <w:rPr>
          <w:bCs/>
          <w:color w:val="26282F"/>
          <w:sz w:val="27"/>
          <w:szCs w:val="27"/>
        </w:rPr>
        <w:t xml:space="preserve">    </w:t>
      </w:r>
      <w:r w:rsidRPr="00BB606D">
        <w:rPr>
          <w:bCs/>
          <w:color w:val="26282F"/>
          <w:sz w:val="27"/>
          <w:szCs w:val="27"/>
        </w:rPr>
        <w:t xml:space="preserve">31 июля 2020 года № 248-ФЗ «О государственном контроле (надзоре) и муниципальном контроле в Российской Федерации». </w:t>
      </w:r>
    </w:p>
    <w:p w:rsidR="0036689E" w:rsidRPr="00BB606D" w:rsidRDefault="0036689E">
      <w:pPr>
        <w:ind w:right="-1" w:firstLine="709"/>
        <w:jc w:val="both"/>
        <w:rPr>
          <w:b/>
          <w:color w:val="FF0000"/>
          <w:sz w:val="27"/>
          <w:szCs w:val="27"/>
        </w:rPr>
      </w:pPr>
    </w:p>
    <w:p w:rsidR="0036689E" w:rsidRPr="00BB606D" w:rsidRDefault="0036689E">
      <w:pPr>
        <w:ind w:right="-1" w:firstLine="709"/>
        <w:jc w:val="both"/>
        <w:rPr>
          <w:b/>
          <w:color w:val="FF0000"/>
          <w:sz w:val="27"/>
          <w:szCs w:val="27"/>
        </w:rPr>
      </w:pPr>
    </w:p>
    <w:p w:rsidR="0036689E" w:rsidRPr="00BB606D" w:rsidRDefault="00000000">
      <w:pPr>
        <w:contextualSpacing/>
        <w:jc w:val="both"/>
        <w:rPr>
          <w:sz w:val="27"/>
          <w:szCs w:val="27"/>
        </w:rPr>
      </w:pPr>
      <w:r w:rsidRPr="00BB606D">
        <w:rPr>
          <w:sz w:val="27"/>
          <w:szCs w:val="27"/>
        </w:rPr>
        <w:t>Заместитель главы</w:t>
      </w:r>
    </w:p>
    <w:p w:rsidR="0036689E" w:rsidRPr="00BB606D" w:rsidRDefault="00BB606D">
      <w:pPr>
        <w:contextualSpacing/>
        <w:jc w:val="both"/>
        <w:rPr>
          <w:sz w:val="27"/>
          <w:szCs w:val="27"/>
        </w:rPr>
      </w:pPr>
      <w:r w:rsidRPr="00BB606D">
        <w:rPr>
          <w:sz w:val="27"/>
          <w:szCs w:val="27"/>
        </w:rPr>
        <w:t>Кореновского городского поселения</w:t>
      </w:r>
    </w:p>
    <w:p w:rsidR="0036689E" w:rsidRPr="00BB606D" w:rsidRDefault="00BB606D">
      <w:pPr>
        <w:contextualSpacing/>
        <w:jc w:val="both"/>
        <w:rPr>
          <w:sz w:val="27"/>
          <w:szCs w:val="27"/>
        </w:rPr>
      </w:pPr>
      <w:r w:rsidRPr="00BB606D">
        <w:rPr>
          <w:sz w:val="27"/>
          <w:szCs w:val="27"/>
        </w:rPr>
        <w:t>Кореновского муниципального района</w:t>
      </w:r>
    </w:p>
    <w:p w:rsidR="0036689E" w:rsidRPr="00BB606D" w:rsidRDefault="00000000">
      <w:pPr>
        <w:contextualSpacing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Краснодарского края                                                </w:t>
      </w:r>
      <w:r w:rsidR="001333FF">
        <w:rPr>
          <w:sz w:val="27"/>
          <w:szCs w:val="27"/>
        </w:rPr>
        <w:t xml:space="preserve">        </w:t>
      </w:r>
      <w:r w:rsidRPr="00BB606D">
        <w:rPr>
          <w:sz w:val="27"/>
          <w:szCs w:val="27"/>
        </w:rPr>
        <w:t xml:space="preserve">                         </w:t>
      </w:r>
      <w:r w:rsidR="00BB606D" w:rsidRPr="00BB606D">
        <w:rPr>
          <w:sz w:val="27"/>
          <w:szCs w:val="27"/>
        </w:rPr>
        <w:t>Р.М. Гаджиев</w:t>
      </w:r>
    </w:p>
    <w:sectPr w:rsidR="0036689E" w:rsidRPr="00BB6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7" w:right="567" w:bottom="1427" w:left="1701" w:header="4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7A9" w:rsidRDefault="00B847A9">
      <w:r>
        <w:separator/>
      </w:r>
    </w:p>
  </w:endnote>
  <w:endnote w:type="continuationSeparator" w:id="0">
    <w:p w:rsidR="00B847A9" w:rsidRDefault="00B8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89E" w:rsidRDefault="003668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89E" w:rsidRDefault="003668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89E" w:rsidRDefault="003668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7A9" w:rsidRDefault="00B847A9">
      <w:r>
        <w:separator/>
      </w:r>
    </w:p>
  </w:footnote>
  <w:footnote w:type="continuationSeparator" w:id="0">
    <w:p w:rsidR="00B847A9" w:rsidRDefault="00B8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89E" w:rsidRDefault="0036689E">
    <w:pPr>
      <w:pStyle w:val="afb"/>
      <w:jc w:val="center"/>
      <w:rPr>
        <w:sz w:val="28"/>
      </w:rPr>
    </w:pPr>
  </w:p>
  <w:p w:rsidR="0036689E" w:rsidRDefault="0036689E">
    <w:pPr>
      <w:pStyle w:val="afb"/>
      <w:jc w:val="center"/>
      <w:rPr>
        <w:sz w:val="28"/>
      </w:rPr>
    </w:pPr>
  </w:p>
  <w:p w:rsidR="0036689E" w:rsidRDefault="00000000">
    <w:pPr>
      <w:pStyle w:val="afb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:rsidR="0036689E" w:rsidRDefault="0036689E">
    <w:pPr>
      <w:pStyle w:val="afb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89E" w:rsidRDefault="0036689E">
    <w:pPr>
      <w:pStyle w:val="afb"/>
      <w:jc w:val="center"/>
      <w:rPr>
        <w:sz w:val="28"/>
      </w:rPr>
    </w:pPr>
  </w:p>
  <w:p w:rsidR="0036689E" w:rsidRDefault="0036689E">
    <w:pPr>
      <w:pStyle w:val="afb"/>
      <w:jc w:val="center"/>
      <w:rPr>
        <w:sz w:val="28"/>
      </w:rPr>
    </w:pPr>
  </w:p>
  <w:p w:rsidR="0036689E" w:rsidRDefault="00000000">
    <w:pPr>
      <w:pStyle w:val="afb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:rsidR="0036689E" w:rsidRDefault="0036689E">
    <w:pPr>
      <w:pStyle w:val="afb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89E" w:rsidRDefault="003668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6AE"/>
    <w:multiLevelType w:val="multilevel"/>
    <w:tmpl w:val="EC96D45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27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3194226">
    <w:abstractNumId w:val="0"/>
  </w:num>
  <w:num w:numId="2" w16cid:durableId="78901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9E"/>
    <w:rsid w:val="001333FF"/>
    <w:rsid w:val="00316D4F"/>
    <w:rsid w:val="0036689E"/>
    <w:rsid w:val="003A73F5"/>
    <w:rsid w:val="00602761"/>
    <w:rsid w:val="00625120"/>
    <w:rsid w:val="00942D2E"/>
    <w:rsid w:val="00AB00CE"/>
    <w:rsid w:val="00AC4608"/>
    <w:rsid w:val="00B847A9"/>
    <w:rsid w:val="00BB606D"/>
    <w:rsid w:val="00D30042"/>
    <w:rsid w:val="00D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F184"/>
  <w15:docId w15:val="{B578B193-EE43-4BB0-9FBE-09065F31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uiPriority w:val="9"/>
    <w:qFormat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00" w:after="120"/>
      <w:outlineLvl w:val="1"/>
    </w:pPr>
    <w:rPr>
      <w:b/>
      <w:sz w:val="32"/>
    </w:rPr>
  </w:style>
  <w:style w:type="paragraph" w:styleId="3">
    <w:name w:val="heading 3"/>
    <w:basedOn w:val="a"/>
    <w:next w:val="a0"/>
    <w:link w:val="30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4">
    <w:name w:val="footer"/>
    <w:basedOn w:val="a"/>
    <w:link w:val="a5"/>
    <w:pPr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10"/>
    <w:link w:val="a4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12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  <w:rPr>
      <w:rFonts w:ascii="Times New Roman" w:hAnsi="Times New Roman"/>
      <w:b w:val="0"/>
      <w:color w:val="000000"/>
      <w:u w:val="none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Hyperlink1">
    <w:name w:val="Hyperlink1"/>
    <w:link w:val="Hyperlink10"/>
    <w:rPr>
      <w:color w:val="000080"/>
      <w:u w:val="single"/>
    </w:rPr>
  </w:style>
  <w:style w:type="character" w:customStyle="1" w:styleId="Hyperlink10">
    <w:name w:val="Hyperlink1"/>
    <w:link w:val="Hyperlink1"/>
    <w:rPr>
      <w:color w:val="000080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3"/>
    <w:link w:val="3"/>
    <w:rPr>
      <w:rFonts w:ascii="Liberation Sans" w:hAnsi="Liberation Sans"/>
      <w:b/>
      <w:color w:val="808080"/>
      <w:sz w:val="28"/>
    </w:rPr>
  </w:style>
  <w:style w:type="paragraph" w:customStyle="1" w:styleId="ac">
    <w:name w:val="Верхний колонтитул слева"/>
    <w:basedOn w:val="a"/>
    <w:link w:val="ad"/>
    <w:pPr>
      <w:tabs>
        <w:tab w:val="center" w:pos="4819"/>
        <w:tab w:val="right" w:pos="9638"/>
      </w:tabs>
    </w:pPr>
  </w:style>
  <w:style w:type="character" w:customStyle="1" w:styleId="ad">
    <w:name w:val="Верхний колонтитул слева"/>
    <w:basedOn w:val="10"/>
    <w:link w:val="ac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0"/>
    <w:link w:val="ae"/>
    <w:rPr>
      <w:rFonts w:ascii="Times New Roman" w:hAnsi="Times New Roman"/>
      <w:color w:val="000000"/>
      <w:sz w:val="24"/>
    </w:rPr>
  </w:style>
  <w:style w:type="paragraph" w:customStyle="1" w:styleId="ListLabel21">
    <w:name w:val="ListLabel 21"/>
    <w:link w:val="ListLabel210"/>
    <w:rPr>
      <w:spacing w:val="-1"/>
      <w:sz w:val="28"/>
    </w:rPr>
  </w:style>
  <w:style w:type="character" w:customStyle="1" w:styleId="ListLabel210">
    <w:name w:val="ListLabel 21"/>
    <w:link w:val="ListLabel21"/>
    <w:rPr>
      <w:rFonts w:ascii="Times New Roman" w:hAnsi="Times New Roman"/>
      <w:b w:val="0"/>
      <w:i w:val="0"/>
      <w:strike w:val="0"/>
      <w:shadow w:val="0"/>
      <w:color w:val="000000"/>
      <w:spacing w:val="-1"/>
      <w:sz w:val="28"/>
      <w:u w:val="non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color w:val="000000"/>
      <w:sz w:val="20"/>
    </w:rPr>
  </w:style>
  <w:style w:type="paragraph" w:styleId="af0">
    <w:name w:val="List"/>
    <w:basedOn w:val="a0"/>
    <w:link w:val="af1"/>
  </w:style>
  <w:style w:type="character" w:customStyle="1" w:styleId="af1">
    <w:name w:val="Список Знак"/>
    <w:basedOn w:val="af2"/>
    <w:link w:val="af0"/>
    <w:rPr>
      <w:rFonts w:ascii="Times New Roman" w:hAnsi="Times New Roman"/>
      <w:color w:val="000000"/>
      <w:sz w:val="24"/>
    </w:rPr>
  </w:style>
  <w:style w:type="paragraph" w:customStyle="1" w:styleId="ConsPlusTitle">
    <w:name w:val="ConsPlusTitle"/>
    <w:basedOn w:val="Standard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basedOn w:val="Standard0"/>
    <w:link w:val="ConsPlusTitle"/>
    <w:rPr>
      <w:rFonts w:ascii="Arial" w:hAnsi="Arial"/>
      <w:b/>
      <w:color w:val="000000"/>
      <w:sz w:val="2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rmattext">
    <w:name w:val="formattext"/>
    <w:basedOn w:val="Standard"/>
    <w:link w:val="formattext0"/>
    <w:pPr>
      <w:spacing w:before="280" w:after="280"/>
    </w:pPr>
  </w:style>
  <w:style w:type="character" w:customStyle="1" w:styleId="formattext0">
    <w:name w:val="formattext"/>
    <w:basedOn w:val="Standard0"/>
    <w:link w:val="formattext"/>
    <w:rPr>
      <w:rFonts w:ascii="Times New Roman" w:hAnsi="Times New Roman"/>
      <w:color w:val="000000"/>
      <w:sz w:val="24"/>
    </w:rPr>
  </w:style>
  <w:style w:type="paragraph" w:customStyle="1" w:styleId="blk">
    <w:name w:val="blk"/>
    <w:basedOn w:val="14"/>
    <w:link w:val="blk0"/>
  </w:style>
  <w:style w:type="character" w:customStyle="1" w:styleId="blk0">
    <w:name w:val="blk"/>
    <w:basedOn w:val="15"/>
    <w:link w:val="blk"/>
  </w:style>
  <w:style w:type="paragraph" w:customStyle="1" w:styleId="af3">
    <w:name w:val="Прижатый влево"/>
    <w:basedOn w:val="a"/>
    <w:next w:val="a"/>
    <w:link w:val="af4"/>
    <w:rPr>
      <w:rFonts w:ascii="Arial" w:hAnsi="Arial"/>
    </w:rPr>
  </w:style>
  <w:style w:type="character" w:customStyle="1" w:styleId="af4">
    <w:name w:val="Прижатый влево"/>
    <w:basedOn w:val="10"/>
    <w:link w:val="af3"/>
    <w:rPr>
      <w:rFonts w:ascii="Arial" w:hAnsi="Arial"/>
      <w:color w:val="000000"/>
      <w:sz w:val="24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0"/>
    <w:link w:val="af5"/>
    <w:rPr>
      <w:rFonts w:ascii="Times New Roman" w:hAnsi="Times New Roman"/>
      <w:color w:val="000000"/>
      <w:sz w:val="24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Интернет) Знак"/>
    <w:basedOn w:val="10"/>
    <w:link w:val="af7"/>
    <w:rPr>
      <w:rFonts w:ascii="Times New Roman" w:hAnsi="Times New Roman"/>
      <w:color w:val="000000"/>
      <w:sz w:val="24"/>
    </w:rPr>
  </w:style>
  <w:style w:type="paragraph" w:customStyle="1" w:styleId="af9">
    <w:name w:val="Обычный (веб)"/>
    <w:basedOn w:val="a"/>
    <w:link w:val="afa"/>
    <w:pPr>
      <w:spacing w:before="280" w:after="280"/>
    </w:pPr>
  </w:style>
  <w:style w:type="character" w:customStyle="1" w:styleId="afa">
    <w:name w:val="Обычный (веб)"/>
    <w:basedOn w:val="10"/>
    <w:link w:val="af9"/>
    <w:rPr>
      <w:rFonts w:ascii="Times New Roman" w:hAnsi="Times New Roman"/>
      <w:color w:val="000000"/>
      <w:sz w:val="24"/>
    </w:rPr>
  </w:style>
  <w:style w:type="paragraph" w:styleId="afb">
    <w:name w:val="header"/>
    <w:basedOn w:val="a"/>
    <w:link w:val="afc"/>
    <w:pPr>
      <w:tabs>
        <w:tab w:val="center" w:pos="4819"/>
        <w:tab w:val="right" w:pos="9638"/>
      </w:tabs>
    </w:pPr>
  </w:style>
  <w:style w:type="character" w:customStyle="1" w:styleId="afc">
    <w:name w:val="Верхний колонтитул Знак"/>
    <w:basedOn w:val="10"/>
    <w:link w:val="afb"/>
    <w:rPr>
      <w:rFonts w:ascii="Times New Roman" w:hAnsi="Times New Roman"/>
      <w:color w:val="000000"/>
      <w:sz w:val="24"/>
    </w:rPr>
  </w:style>
  <w:style w:type="paragraph" w:customStyle="1" w:styleId="afd">
    <w:name w:val="Сравнение редакций. Добавленный фрагмент"/>
    <w:link w:val="afe"/>
  </w:style>
  <w:style w:type="character" w:customStyle="1" w:styleId="afe">
    <w:name w:val="Сравнение редакций. Добавленный фрагмент"/>
    <w:link w:val="afd"/>
    <w:rPr>
      <w:color w:val="000000"/>
    </w:rPr>
  </w:style>
  <w:style w:type="paragraph" w:styleId="a0">
    <w:name w:val="Body Text"/>
    <w:basedOn w:val="a"/>
    <w:link w:val="af2"/>
    <w:pPr>
      <w:spacing w:after="140" w:line="288" w:lineRule="auto"/>
    </w:pPr>
  </w:style>
  <w:style w:type="character" w:customStyle="1" w:styleId="af2">
    <w:name w:val="Основной текст Знак"/>
    <w:basedOn w:val="10"/>
    <w:link w:val="a0"/>
    <w:rPr>
      <w:rFonts w:ascii="Times New Roman" w:hAnsi="Times New Roman"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andarduser">
    <w:name w:val="Standard (user)"/>
    <w:link w:val="Standarduser0"/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0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aff">
    <w:name w:val="Маркеры списка"/>
    <w:link w:val="aff0"/>
    <w:rPr>
      <w:rFonts w:ascii="OpenSymbol" w:hAnsi="OpenSymbol"/>
    </w:rPr>
  </w:style>
  <w:style w:type="character" w:customStyle="1" w:styleId="aff0">
    <w:name w:val="Маркеры списка"/>
    <w:link w:val="aff"/>
    <w:rPr>
      <w:rFonts w:ascii="OpenSymbol" w:hAnsi="OpenSymbol"/>
    </w:rPr>
  </w:style>
  <w:style w:type="paragraph" w:customStyle="1" w:styleId="aff1">
    <w:name w:val="Заголовок таблицы"/>
    <w:basedOn w:val="aff2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ff4"/>
    <w:link w:val="aff1"/>
    <w:rPr>
      <w:rFonts w:ascii="Times New Roman" w:hAnsi="Times New Roman"/>
      <w:b/>
      <w:color w:val="000000"/>
      <w:sz w:val="24"/>
    </w:rPr>
  </w:style>
  <w:style w:type="paragraph" w:customStyle="1" w:styleId="aff2">
    <w:name w:val="Содержимое таблицы"/>
    <w:basedOn w:val="a"/>
    <w:link w:val="aff4"/>
  </w:style>
  <w:style w:type="character" w:customStyle="1" w:styleId="aff4">
    <w:name w:val="Содержимое таблицы"/>
    <w:basedOn w:val="10"/>
    <w:link w:val="aff2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5">
    <w:name w:val="Горизонтальная линия"/>
    <w:basedOn w:val="a"/>
    <w:next w:val="a0"/>
    <w:link w:val="aff6"/>
    <w:pPr>
      <w:spacing w:after="283"/>
    </w:pPr>
    <w:rPr>
      <w:sz w:val="12"/>
    </w:rPr>
  </w:style>
  <w:style w:type="character" w:customStyle="1" w:styleId="aff6">
    <w:name w:val="Горизонтальная линия"/>
    <w:basedOn w:val="10"/>
    <w:link w:val="aff5"/>
    <w:rPr>
      <w:rFonts w:ascii="Times New Roman" w:hAnsi="Times New Roman"/>
      <w:color w:val="000000"/>
      <w:sz w:val="1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48"/>
    </w:rPr>
  </w:style>
  <w:style w:type="paragraph" w:customStyle="1" w:styleId="ListLabel7">
    <w:name w:val="ListLabel 7"/>
    <w:link w:val="ListLabel70"/>
    <w:rPr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16">
    <w:name w:val="Гиперссылка1"/>
    <w:link w:val="aff7"/>
    <w:rPr>
      <w:color w:val="0000FF"/>
      <w:u w:val="single"/>
    </w:rPr>
  </w:style>
  <w:style w:type="character" w:styleId="aff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ab">
    <w:name w:val="Название объекта Знак"/>
    <w:basedOn w:val="10"/>
    <w:link w:val="aa"/>
    <w:rPr>
      <w:rFonts w:ascii="Times New Roman" w:hAnsi="Times New Roman"/>
      <w:i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8">
    <w:name w:val="Цветовое выделение для Текст"/>
    <w:link w:val="aff9"/>
    <w:rPr>
      <w:sz w:val="24"/>
    </w:rPr>
  </w:style>
  <w:style w:type="character" w:customStyle="1" w:styleId="aff9">
    <w:name w:val="Цветовое выделение для Текст"/>
    <w:link w:val="aff8"/>
    <w:rPr>
      <w:sz w:val="24"/>
    </w:rPr>
  </w:style>
  <w:style w:type="paragraph" w:customStyle="1" w:styleId="23">
    <w:name w:val="Основной шрифт абзаца2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fa">
    <w:name w:val="Блочная цитата"/>
    <w:basedOn w:val="a"/>
    <w:link w:val="affb"/>
    <w:pPr>
      <w:spacing w:after="283"/>
      <w:ind w:left="567" w:right="567"/>
    </w:pPr>
  </w:style>
  <w:style w:type="character" w:customStyle="1" w:styleId="affb">
    <w:name w:val="Блочная цитата"/>
    <w:basedOn w:val="10"/>
    <w:link w:val="affa"/>
    <w:rPr>
      <w:rFonts w:ascii="Times New Roman" w:hAnsi="Times New Roman"/>
      <w:color w:val="00000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c">
    <w:name w:val="Верхний и нижний колонтитулы"/>
    <w:basedOn w:val="a"/>
    <w:link w:val="affd"/>
    <w:pPr>
      <w:tabs>
        <w:tab w:val="center" w:pos="4819"/>
        <w:tab w:val="right" w:pos="9638"/>
      </w:tabs>
    </w:pPr>
  </w:style>
  <w:style w:type="character" w:customStyle="1" w:styleId="affd">
    <w:name w:val="Верхний и нижний колонтитулы"/>
    <w:basedOn w:val="10"/>
    <w:link w:val="affc"/>
    <w:rPr>
      <w:rFonts w:ascii="Times New Roman" w:hAnsi="Times New Roman"/>
      <w:color w:val="000000"/>
      <w:sz w:val="24"/>
    </w:rPr>
  </w:style>
  <w:style w:type="paragraph" w:customStyle="1" w:styleId="24">
    <w:name w:val="Основной текст (2)"/>
    <w:basedOn w:val="a"/>
    <w:link w:val="25"/>
    <w:pPr>
      <w:spacing w:line="307" w:lineRule="exact"/>
    </w:pPr>
    <w:rPr>
      <w:sz w:val="26"/>
    </w:rPr>
  </w:style>
  <w:style w:type="character" w:customStyle="1" w:styleId="25">
    <w:name w:val="Основной текст (2)"/>
    <w:basedOn w:val="10"/>
    <w:link w:val="24"/>
    <w:rPr>
      <w:rFonts w:ascii="Times New Roman" w:hAnsi="Times New Roman"/>
      <w:color w:val="00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rFonts w:ascii="Times New Roman" w:hAnsi="Times New Roman"/>
      <w:color w:val="000000"/>
      <w:sz w:val="24"/>
    </w:rPr>
  </w:style>
  <w:style w:type="paragraph" w:customStyle="1" w:styleId="1b">
    <w:name w:val="Просмотренная гиперссылка1"/>
    <w:link w:val="affe"/>
    <w:rPr>
      <w:color w:val="800000"/>
      <w:u w:val="single"/>
    </w:rPr>
  </w:style>
  <w:style w:type="character" w:styleId="affe">
    <w:name w:val="FollowedHyperlink"/>
    <w:link w:val="1b"/>
    <w:rPr>
      <w:color w:val="800000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33">
    <w:name w:val="Основной шрифт абзаца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q">
    <w:name w:val="q"/>
    <w:link w:val="q0"/>
  </w:style>
  <w:style w:type="character" w:customStyle="1" w:styleId="q0">
    <w:name w:val="q"/>
    <w:link w:val="q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ff">
    <w:name w:val="Subtitle"/>
    <w:basedOn w:val="a"/>
    <w:next w:val="a0"/>
    <w:link w:val="afff0"/>
    <w:uiPriority w:val="11"/>
    <w:qFormat/>
    <w:pPr>
      <w:spacing w:before="60" w:after="120"/>
      <w:jc w:val="center"/>
    </w:pPr>
    <w:rPr>
      <w:sz w:val="36"/>
    </w:rPr>
  </w:style>
  <w:style w:type="character" w:customStyle="1" w:styleId="afff0">
    <w:name w:val="Подзаголовок Знак"/>
    <w:basedOn w:val="13"/>
    <w:link w:val="afff"/>
    <w:rPr>
      <w:rFonts w:ascii="Liberation Sans" w:hAnsi="Liberation Sans"/>
      <w:color w:val="000000"/>
      <w:sz w:val="36"/>
    </w:rPr>
  </w:style>
  <w:style w:type="paragraph" w:customStyle="1" w:styleId="ListLabel6">
    <w:name w:val="ListLabel 6"/>
    <w:link w:val="ListLabel60"/>
    <w:rPr>
      <w:sz w:val="28"/>
    </w:rPr>
  </w:style>
  <w:style w:type="character" w:customStyle="1" w:styleId="ListLabel60">
    <w:name w:val="ListLabel 6"/>
    <w:link w:val="ListLabel6"/>
    <w:rPr>
      <w:sz w:val="28"/>
    </w:rPr>
  </w:style>
  <w:style w:type="paragraph" w:customStyle="1" w:styleId="ListLabel5">
    <w:name w:val="ListLabel 5"/>
    <w:link w:val="ListLabel50"/>
    <w:rPr>
      <w:rFonts w:ascii="Arial" w:hAnsi="Arial"/>
      <w:sz w:val="24"/>
    </w:rPr>
  </w:style>
  <w:style w:type="character" w:customStyle="1" w:styleId="ListLabel50">
    <w:name w:val="ListLabel 5"/>
    <w:link w:val="ListLabel5"/>
    <w:rPr>
      <w:rFonts w:ascii="Arial" w:hAnsi="Arial"/>
      <w:sz w:val="24"/>
    </w:rPr>
  </w:style>
  <w:style w:type="paragraph" w:styleId="afff1">
    <w:name w:val="Title"/>
    <w:basedOn w:val="a"/>
    <w:next w:val="a0"/>
    <w:link w:val="afff2"/>
    <w:uiPriority w:val="10"/>
    <w:qFormat/>
    <w:pPr>
      <w:jc w:val="center"/>
    </w:pPr>
    <w:rPr>
      <w:b/>
      <w:sz w:val="56"/>
    </w:rPr>
  </w:style>
  <w:style w:type="character" w:customStyle="1" w:styleId="13">
    <w:name w:val="Заголовок1"/>
    <w:basedOn w:val="10"/>
    <w:rPr>
      <w:rFonts w:ascii="Liberation Sans" w:hAnsi="Liberation Sans"/>
      <w:color w:val="000000"/>
      <w:sz w:val="28"/>
    </w:rPr>
  </w:style>
  <w:style w:type="paragraph" w:customStyle="1" w:styleId="ListLabel4">
    <w:name w:val="ListLabel 4"/>
    <w:link w:val="ListLabel40"/>
    <w:rPr>
      <w:sz w:val="28"/>
    </w:rPr>
  </w:style>
  <w:style w:type="character" w:customStyle="1" w:styleId="ListLabel40">
    <w:name w:val="ListLabel 4"/>
    <w:link w:val="ListLabel4"/>
    <w:rPr>
      <w:sz w:val="28"/>
    </w:rPr>
  </w:style>
  <w:style w:type="character" w:customStyle="1" w:styleId="afff2">
    <w:name w:val="Заголовок Знак"/>
    <w:basedOn w:val="13"/>
    <w:link w:val="afff1"/>
    <w:rPr>
      <w:rFonts w:ascii="Liberation Sans" w:hAnsi="Liberation Sans"/>
      <w:b/>
      <w:color w:val="00000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13"/>
    <w:link w:val="2"/>
    <w:rPr>
      <w:rFonts w:ascii="Liberation Sans" w:hAnsi="Liberation Sans"/>
      <w:b/>
      <w:color w:val="000000"/>
      <w:sz w:val="32"/>
    </w:rPr>
  </w:style>
  <w:style w:type="paragraph" w:customStyle="1" w:styleId="WW-">
    <w:name w:val="WW-Базовый"/>
    <w:link w:val="WW-0"/>
    <w:pPr>
      <w:widowControl w:val="0"/>
    </w:pPr>
    <w:rPr>
      <w:sz w:val="24"/>
    </w:rPr>
  </w:style>
  <w:style w:type="character" w:customStyle="1" w:styleId="WW-0">
    <w:name w:val="WW-Базовый"/>
    <w:link w:val="WW-"/>
    <w:rPr>
      <w:rFonts w:ascii="Times New Roman" w:hAnsi="Times New Roman"/>
      <w:color w:val="000000"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afff3">
    <w:name w:val="Колонтитул"/>
    <w:basedOn w:val="a"/>
    <w:link w:val="afff4"/>
    <w:pPr>
      <w:tabs>
        <w:tab w:val="center" w:pos="4819"/>
        <w:tab w:val="right" w:pos="9638"/>
      </w:tabs>
    </w:pPr>
  </w:style>
  <w:style w:type="character" w:customStyle="1" w:styleId="afff4">
    <w:name w:val="Колонтитул"/>
    <w:basedOn w:val="10"/>
    <w:link w:val="afff3"/>
    <w:rPr>
      <w:rFonts w:ascii="Times New Roman" w:hAnsi="Times New Roman"/>
      <w:color w:val="000000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ff5">
    <w:name w:val="Нормальный (таблица)"/>
    <w:basedOn w:val="a"/>
    <w:next w:val="a"/>
    <w:rsid w:val="00BB606D"/>
    <w:pPr>
      <w:widowControl w:val="0"/>
      <w:suppressAutoHyphens/>
      <w:autoSpaceDE w:val="0"/>
      <w:jc w:val="both"/>
    </w:pPr>
    <w:rPr>
      <w:rFonts w:ascii="Times New Roman CYR" w:hAnsi="Times New Roman CYR" w:cs="Times New Roman CYR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Lawyer1</dc:creator>
  <cp:lastModifiedBy>Lawyer1</cp:lastModifiedBy>
  <cp:revision>3</cp:revision>
  <cp:lastPrinted>2025-12-19T14:00:00Z</cp:lastPrinted>
  <dcterms:created xsi:type="dcterms:W3CDTF">2025-12-19T14:00:00Z</dcterms:created>
  <dcterms:modified xsi:type="dcterms:W3CDTF">2025-12-29T13:48:00Z</dcterms:modified>
</cp:coreProperties>
</file>